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小标宋简体" w:cs="Times New Roman"/>
          <w:color w:val="000000"/>
          <w:kern w:val="0"/>
          <w:sz w:val="44"/>
          <w:szCs w:val="44"/>
          <w:lang w:val="en-US" w:eastAsia="zh-CN" w:bidi="ar"/>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小标宋简体" w:cs="Times New Roman"/>
          <w:color w:val="000000"/>
          <w:kern w:val="0"/>
          <w:sz w:val="44"/>
          <w:szCs w:val="44"/>
          <w:lang w:val="en-US" w:eastAsia="zh-CN" w:bidi="ar"/>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小标宋简体" w:cs="Times New Roman"/>
          <w:color w:val="000000"/>
          <w:kern w:val="0"/>
          <w:sz w:val="44"/>
          <w:szCs w:val="44"/>
          <w:lang w:val="en-US" w:eastAsia="zh-CN" w:bidi="ar"/>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小标宋简体" w:cs="Times New Roman"/>
          <w:color w:val="000000"/>
          <w:kern w:val="0"/>
          <w:sz w:val="44"/>
          <w:szCs w:val="44"/>
          <w:lang w:val="en-US" w:eastAsia="zh-CN" w:bidi="ar"/>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小标宋简体" w:cs="Times New Roman"/>
          <w:color w:val="000000"/>
          <w:kern w:val="0"/>
          <w:sz w:val="44"/>
          <w:szCs w:val="44"/>
          <w:lang w:val="en-US" w:eastAsia="zh-CN" w:bidi="ar"/>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color w:val="000000"/>
          <w:kern w:val="0"/>
          <w:sz w:val="36"/>
          <w:szCs w:val="36"/>
          <w:lang w:val="en-US" w:eastAsia="zh-CN" w:bidi="ar"/>
        </w:rPr>
      </w:pPr>
      <w:r>
        <w:rPr>
          <w:rFonts w:hint="eastAsia" w:ascii="Times New Roman" w:hAnsi="Times New Roman" w:eastAsia="仿宋_GB2312" w:cs="Times New Roman"/>
          <w:color w:val="000000"/>
          <w:kern w:val="0"/>
          <w:sz w:val="36"/>
          <w:szCs w:val="36"/>
          <w:lang w:val="en-US" w:eastAsia="zh-CN" w:bidi="ar"/>
        </w:rPr>
        <w:t>坎委</w:t>
      </w:r>
      <w:r>
        <w:rPr>
          <w:rFonts w:hint="default" w:ascii="Times New Roman" w:hAnsi="Times New Roman" w:eastAsia="仿宋_GB2312" w:cs="Times New Roman"/>
          <w:color w:val="000000"/>
          <w:kern w:val="0"/>
          <w:sz w:val="36"/>
          <w:szCs w:val="36"/>
          <w:lang w:val="en-US" w:eastAsia="zh-CN" w:bidi="ar"/>
        </w:rPr>
        <w:t>〔2025〕</w:t>
      </w:r>
      <w:r>
        <w:rPr>
          <w:rFonts w:hint="eastAsia" w:ascii="Times New Roman" w:hAnsi="Times New Roman" w:eastAsia="仿宋_GB2312" w:cs="Times New Roman"/>
          <w:color w:val="000000"/>
          <w:kern w:val="0"/>
          <w:sz w:val="36"/>
          <w:szCs w:val="36"/>
          <w:lang w:val="en-US" w:eastAsia="zh-CN" w:bidi="ar"/>
        </w:rPr>
        <w:t>27</w:t>
      </w:r>
      <w:r>
        <w:rPr>
          <w:rFonts w:hint="default" w:ascii="Times New Roman" w:hAnsi="Times New Roman" w:eastAsia="仿宋_GB2312" w:cs="Times New Roman"/>
          <w:color w:val="000000"/>
          <w:kern w:val="0"/>
          <w:sz w:val="36"/>
          <w:szCs w:val="36"/>
          <w:lang w:val="en-US" w:eastAsia="zh-CN" w:bidi="ar"/>
        </w:rPr>
        <w:t>号</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小标宋简体" w:cs="Times New Roman"/>
          <w:color w:val="000000"/>
          <w:kern w:val="0"/>
          <w:sz w:val="44"/>
          <w:szCs w:val="44"/>
          <w:lang w:val="en-US" w:eastAsia="zh-CN" w:bidi="ar"/>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color w:val="000000"/>
          <w:kern w:val="0"/>
          <w:sz w:val="44"/>
          <w:szCs w:val="44"/>
          <w:lang w:val="en-US" w:eastAsia="zh-CN" w:bidi="ar"/>
        </w:rPr>
      </w:pPr>
      <w:r>
        <w:rPr>
          <w:rFonts w:hint="eastAsia" w:ascii="Times New Roman" w:hAnsi="Times New Roman" w:eastAsia="方正小标宋简体" w:cs="Times New Roman"/>
          <w:color w:val="000000"/>
          <w:kern w:val="0"/>
          <w:sz w:val="44"/>
          <w:szCs w:val="44"/>
          <w:lang w:val="en-US" w:eastAsia="zh-CN" w:bidi="ar"/>
        </w:rPr>
        <w:t>中共坎市镇委员会  坎市镇人民政府</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color w:val="000000"/>
          <w:kern w:val="0"/>
          <w:sz w:val="44"/>
          <w:szCs w:val="44"/>
          <w:lang w:val="en-US" w:eastAsia="zh-CN" w:bidi="ar"/>
        </w:rPr>
      </w:pPr>
      <w:r>
        <w:rPr>
          <w:rFonts w:hint="eastAsia" w:ascii="Times New Roman" w:hAnsi="Times New Roman" w:eastAsia="方正小标宋简体" w:cs="Times New Roman"/>
          <w:color w:val="000000"/>
          <w:kern w:val="0"/>
          <w:sz w:val="44"/>
          <w:szCs w:val="44"/>
          <w:lang w:val="en-US" w:eastAsia="zh-CN" w:bidi="ar"/>
        </w:rPr>
        <w:t>关于</w:t>
      </w:r>
      <w:r>
        <w:rPr>
          <w:rFonts w:hint="default" w:ascii="Times New Roman" w:hAnsi="Times New Roman" w:eastAsia="方正小标宋简体" w:cs="Times New Roman"/>
          <w:color w:val="000000"/>
          <w:kern w:val="0"/>
          <w:sz w:val="44"/>
          <w:szCs w:val="44"/>
          <w:lang w:val="en-US" w:eastAsia="zh-CN" w:bidi="ar"/>
        </w:rPr>
        <w:t>2025年</w:t>
      </w:r>
      <w:r>
        <w:rPr>
          <w:rFonts w:hint="eastAsia" w:ascii="Times New Roman" w:hAnsi="Times New Roman" w:eastAsia="方正小标宋简体" w:cs="Times New Roman"/>
          <w:color w:val="000000"/>
          <w:kern w:val="0"/>
          <w:sz w:val="44"/>
          <w:szCs w:val="44"/>
          <w:lang w:val="en-US" w:eastAsia="zh-CN" w:bidi="ar"/>
        </w:rPr>
        <w:t>度</w:t>
      </w:r>
      <w:r>
        <w:rPr>
          <w:rFonts w:hint="default" w:ascii="Times New Roman" w:hAnsi="Times New Roman" w:eastAsia="方正小标宋简体" w:cs="Times New Roman"/>
          <w:color w:val="000000"/>
          <w:kern w:val="0"/>
          <w:sz w:val="44"/>
          <w:szCs w:val="44"/>
          <w:lang w:val="en-US" w:eastAsia="zh-CN" w:bidi="ar"/>
        </w:rPr>
        <w:t>法治政府建设</w:t>
      </w:r>
      <w:r>
        <w:rPr>
          <w:rFonts w:hint="eastAsia" w:ascii="Times New Roman" w:hAnsi="Times New Roman" w:eastAsia="方正小标宋简体" w:cs="Times New Roman"/>
          <w:color w:val="000000"/>
          <w:kern w:val="0"/>
          <w:sz w:val="44"/>
          <w:szCs w:val="44"/>
          <w:lang w:val="en-US" w:eastAsia="zh-CN" w:bidi="ar"/>
        </w:rPr>
        <w:t>工作情况的</w:t>
      </w:r>
      <w:r>
        <w:rPr>
          <w:rFonts w:hint="default" w:ascii="Times New Roman" w:hAnsi="Times New Roman" w:eastAsia="方正小标宋简体" w:cs="Times New Roman"/>
          <w:color w:val="000000"/>
          <w:kern w:val="0"/>
          <w:sz w:val="44"/>
          <w:szCs w:val="44"/>
          <w:lang w:val="en-US" w:eastAsia="zh-CN" w:bidi="ar"/>
        </w:rPr>
        <w:t>报告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永定区委、区政府：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一年来</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坎市镇坚持以习近平新时代中国特色社会主义思想为指导，深入学习贯彻党的二十大和二十届历次全会精神以及习近平总书记在福建考察时的重要讲话精神，认真贯彻落实习近平法治思想，严格依法履行法定职责，规范行政行为，推动法治政府规范化、标准化建设，为坎市经济社会高质量发展提供坚强的法治保障。现将有关情况报告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b w:val="0"/>
          <w:bCs w:val="0"/>
          <w:kern w:val="2"/>
          <w:sz w:val="32"/>
          <w:szCs w:val="32"/>
          <w:lang w:val="en-US" w:eastAsia="zh-CN" w:bidi="ar-SA"/>
        </w:rPr>
      </w:pPr>
      <w:r>
        <w:rPr>
          <w:rFonts w:hint="eastAsia" w:ascii="Times New Roman" w:hAnsi="Times New Roman" w:eastAsia="黑体" w:cs="Times New Roman"/>
          <w:b w:val="0"/>
          <w:bCs w:val="0"/>
          <w:kern w:val="2"/>
          <w:sz w:val="32"/>
          <w:szCs w:val="32"/>
          <w:lang w:val="en-US" w:eastAsia="zh-CN" w:bidi="ar-SA"/>
        </w:rPr>
        <w:t>一、主要工作开展情况</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jc w:val="both"/>
        <w:textAlignment w:val="auto"/>
        <w:rPr>
          <w:rFonts w:hint="eastAsia" w:ascii="楷体_GB2312" w:hAnsi="楷体_GB2312" w:eastAsia="楷体_GB2312" w:cs="楷体_GB2312"/>
          <w:b/>
          <w:bCs/>
          <w:color w:val="000000"/>
          <w:sz w:val="32"/>
          <w:szCs w:val="32"/>
          <w:lang w:val="en-US" w:eastAsia="zh-CN"/>
        </w:rPr>
      </w:pPr>
      <w:r>
        <w:rPr>
          <w:rFonts w:hint="eastAsia" w:ascii="楷体_GB2312" w:hAnsi="楷体_GB2312" w:eastAsia="楷体_GB2312" w:cs="楷体_GB2312"/>
          <w:b/>
          <w:bCs/>
          <w:kern w:val="2"/>
          <w:sz w:val="32"/>
          <w:szCs w:val="32"/>
          <w:lang w:val="en-US" w:eastAsia="zh-CN" w:bidi="ar-SA"/>
        </w:rPr>
        <w:t>（一）强化政治引领，筑牢法治建设根基</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jc w:val="both"/>
        <w:textAlignment w:val="auto"/>
        <w:rPr>
          <w:rFonts w:hint="default" w:ascii="Times New Roman" w:hAnsi="Times New Roman" w:eastAsia="楷体_GB2312" w:cs="Times New Roman"/>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1.坚持高位推动。</w:t>
      </w:r>
      <w:r>
        <w:rPr>
          <w:rFonts w:hint="eastAsia" w:ascii="Times New Roman" w:hAnsi="Times New Roman" w:eastAsia="仿宋_GB2312" w:cs="Times New Roman"/>
          <w:color w:val="000000"/>
          <w:kern w:val="0"/>
          <w:sz w:val="32"/>
          <w:szCs w:val="32"/>
          <w:lang w:val="en-US" w:eastAsia="zh-CN" w:bidi="ar"/>
        </w:rPr>
        <w:t>始终把法治政府建设作为一项全局性、基础性工作来抓，将法治建设纳入镇党委、政府年度重点工作，做到与中心工作同谋划、同部署、同推进。镇党委、政府主要负责人严格落实法治建设第一责任人职责，带头履行“亲自部署、亲自过问、亲自协调、亲自督办”责任，班子成员严格落实“一岗双责”，形成一级抓一级、层层抓落实的闭环工作格局。2025年镇党委会专题研究法治工作4次，听取法治政府建设汇报2次。</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eastAsia" w:ascii="仿宋_GB2312" w:hAnsi="仿宋_GB2312" w:eastAsia="仿宋_GB2312" w:cs="仿宋_GB2312"/>
          <w:b/>
          <w:bCs/>
          <w:color w:val="000000"/>
          <w:sz w:val="32"/>
          <w:szCs w:val="32"/>
          <w:lang w:val="en-US" w:eastAsia="zh-CN"/>
        </w:rPr>
        <w:t>2.提升履职能力。</w:t>
      </w:r>
      <w:r>
        <w:rPr>
          <w:rFonts w:hint="eastAsia" w:ascii="Times New Roman" w:hAnsi="Times New Roman" w:eastAsia="仿宋_GB2312" w:cs="Times New Roman"/>
          <w:color w:val="000000"/>
          <w:kern w:val="0"/>
          <w:sz w:val="32"/>
          <w:szCs w:val="32"/>
          <w:lang w:val="en-US" w:eastAsia="zh-CN" w:bidi="ar"/>
        </w:rPr>
        <w:t>坚持“关键少数”示范领学，将习近平法治思想以及宪法、民法典、《中华人民共和国行政处罚法》等法律法规纳入镇党委理论学习中心组学习计划，开展</w:t>
      </w:r>
      <w:r>
        <w:rPr>
          <w:rFonts w:hint="default" w:ascii="Times New Roman" w:hAnsi="Times New Roman" w:eastAsia="仿宋_GB2312" w:cs="Times New Roman"/>
          <w:color w:val="000000"/>
          <w:kern w:val="0"/>
          <w:sz w:val="32"/>
          <w:szCs w:val="32"/>
          <w:lang w:val="en-US" w:eastAsia="zh-CN" w:bidi="ar"/>
        </w:rPr>
        <w:t>专题学习4次</w:t>
      </w:r>
      <w:r>
        <w:rPr>
          <w:rFonts w:hint="eastAsia" w:ascii="Times New Roman" w:hAnsi="Times New Roman" w:eastAsia="仿宋_GB2312" w:cs="Times New Roman"/>
          <w:color w:val="000000"/>
          <w:kern w:val="0"/>
          <w:sz w:val="32"/>
          <w:szCs w:val="32"/>
          <w:lang w:val="en-US" w:eastAsia="zh-CN" w:bidi="ar"/>
        </w:rPr>
        <w:t>。创新开展“一月一主题”能力提升培训行动，组织全镇干部职工参加学法</w:t>
      </w:r>
      <w:r>
        <w:rPr>
          <w:rFonts w:hint="default" w:ascii="Times New Roman" w:hAnsi="Times New Roman" w:eastAsia="仿宋_GB2312" w:cs="Times New Roman"/>
          <w:color w:val="000000"/>
          <w:kern w:val="0"/>
          <w:sz w:val="32"/>
          <w:szCs w:val="32"/>
          <w:lang w:val="en-US" w:eastAsia="zh-CN" w:bidi="ar"/>
        </w:rPr>
        <w:t>专题讲座4场</w:t>
      </w:r>
      <w:r>
        <w:rPr>
          <w:rFonts w:hint="eastAsia" w:ascii="Times New Roman" w:hAnsi="Times New Roman" w:eastAsia="仿宋_GB2312" w:cs="Times New Roman"/>
          <w:color w:val="000000"/>
          <w:kern w:val="0"/>
          <w:sz w:val="32"/>
          <w:szCs w:val="32"/>
          <w:lang w:val="en-US" w:eastAsia="zh-CN" w:bidi="ar"/>
        </w:rPr>
        <w:t>次</w:t>
      </w:r>
      <w:r>
        <w:rPr>
          <w:rFonts w:hint="default" w:ascii="Times New Roman" w:hAnsi="Times New Roman" w:eastAsia="仿宋_GB2312" w:cs="Times New Roman"/>
          <w:color w:val="000000"/>
          <w:kern w:val="0"/>
          <w:sz w:val="32"/>
          <w:szCs w:val="32"/>
          <w:lang w:val="en-US" w:eastAsia="zh-CN" w:bidi="ar"/>
        </w:rPr>
        <w:t>，参</w:t>
      </w:r>
      <w:r>
        <w:rPr>
          <w:rFonts w:hint="eastAsia" w:ascii="Times New Roman" w:hAnsi="Times New Roman" w:eastAsia="仿宋_GB2312" w:cs="Times New Roman"/>
          <w:color w:val="000000"/>
          <w:kern w:val="0"/>
          <w:sz w:val="32"/>
          <w:szCs w:val="32"/>
          <w:lang w:val="en-US" w:eastAsia="zh-CN" w:bidi="ar"/>
        </w:rPr>
        <w:t>加</w:t>
      </w:r>
      <w:r>
        <w:rPr>
          <w:rFonts w:hint="default" w:ascii="Times New Roman" w:hAnsi="Times New Roman" w:eastAsia="仿宋_GB2312" w:cs="Times New Roman"/>
          <w:color w:val="000000"/>
          <w:kern w:val="0"/>
          <w:sz w:val="32"/>
          <w:szCs w:val="32"/>
          <w:lang w:val="en-US" w:eastAsia="zh-CN" w:bidi="ar"/>
        </w:rPr>
        <w:t>人数达300人次</w:t>
      </w:r>
      <w:r>
        <w:rPr>
          <w:rFonts w:hint="eastAsia" w:ascii="Times New Roman" w:hAnsi="Times New Roman" w:eastAsia="仿宋_GB2312" w:cs="Times New Roman"/>
          <w:color w:val="000000"/>
          <w:kern w:val="0"/>
          <w:sz w:val="32"/>
          <w:szCs w:val="32"/>
          <w:lang w:val="en-US" w:eastAsia="zh-CN" w:bidi="ar"/>
        </w:rPr>
        <w:t>，实现镇村干部法治培训全覆盖，切实提升运用法治思维和法治方式推动工作、化解矛盾的能力。</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eastAsia" w:ascii="仿宋_GB2312" w:hAnsi="仿宋_GB2312" w:eastAsia="仿宋_GB2312" w:cs="仿宋_GB2312"/>
          <w:b/>
          <w:bCs/>
          <w:color w:val="000000"/>
          <w:sz w:val="32"/>
          <w:szCs w:val="32"/>
          <w:lang w:val="en-US" w:eastAsia="zh-CN"/>
        </w:rPr>
        <w:t>3.加强队伍建设。</w:t>
      </w:r>
      <w:r>
        <w:rPr>
          <w:rFonts w:hint="eastAsia" w:ascii="Times New Roman" w:hAnsi="Times New Roman" w:eastAsia="仿宋_GB2312" w:cs="Times New Roman"/>
          <w:color w:val="000000"/>
          <w:kern w:val="0"/>
          <w:sz w:val="32"/>
          <w:szCs w:val="32"/>
          <w:lang w:val="en-US" w:eastAsia="zh-CN" w:bidi="ar"/>
        </w:rPr>
        <w:t>扎实推进司法所、综治中心规范化建设，配齐法治宣传、纠纷调解等功能室，</w:t>
      </w:r>
      <w:r>
        <w:rPr>
          <w:rFonts w:hint="default" w:ascii="Times New Roman" w:hAnsi="Times New Roman" w:eastAsia="仿宋_GB2312" w:cs="Times New Roman"/>
          <w:color w:val="000000"/>
          <w:kern w:val="0"/>
          <w:sz w:val="32"/>
          <w:szCs w:val="32"/>
          <w:lang w:val="en-US" w:eastAsia="zh-CN" w:bidi="ar"/>
        </w:rPr>
        <w:t>将公共法律服务融入综治中心，全年提供法律咨询352人次，办理法律援助案件7件。</w:t>
      </w:r>
      <w:r>
        <w:rPr>
          <w:rFonts w:hint="eastAsia" w:ascii="Times New Roman" w:hAnsi="Times New Roman" w:eastAsia="仿宋_GB2312" w:cs="Times New Roman"/>
          <w:color w:val="000000"/>
          <w:kern w:val="0"/>
          <w:sz w:val="32"/>
          <w:szCs w:val="32"/>
          <w:lang w:val="en-US" w:eastAsia="zh-CN" w:bidi="ar"/>
        </w:rPr>
        <w:t>面向社会公开吸纳懂法律、有威望、热心公益的“法律明白人”35名，“法治带头人”3名。坎市司法所负责人获评全国司法援助工作先进个人、2025年全省三八红旗手、全市青年五四奖章等荣誉称号，法治队伍综合实力不断增强。</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jc w:val="both"/>
        <w:textAlignment w:val="auto"/>
        <w:rPr>
          <w:rFonts w:hint="eastAsia" w:ascii="楷体_GB2312" w:hAnsi="楷体_GB2312" w:eastAsia="楷体_GB2312" w:cs="楷体_GB2312"/>
          <w:b/>
          <w:bCs/>
          <w:color w:val="000000"/>
          <w:sz w:val="32"/>
          <w:szCs w:val="32"/>
          <w:lang w:val="en-US" w:eastAsia="zh-CN"/>
        </w:rPr>
      </w:pPr>
      <w:r>
        <w:rPr>
          <w:rFonts w:hint="eastAsia" w:ascii="楷体_GB2312" w:hAnsi="楷体_GB2312" w:eastAsia="楷体_GB2312" w:cs="楷体_GB2312"/>
          <w:b/>
          <w:bCs/>
          <w:kern w:val="2"/>
          <w:sz w:val="32"/>
          <w:szCs w:val="32"/>
          <w:lang w:val="en-US" w:eastAsia="zh-CN" w:bidi="ar-SA"/>
        </w:rPr>
        <w:t>（二）聚焦规范履职，提升依法行政水平</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jc w:val="both"/>
        <w:textAlignment w:val="auto"/>
        <w:rPr>
          <w:rFonts w:hint="eastAsia" w:ascii="Times New Roman" w:hAnsi="Times New Roman" w:eastAsia="仿宋_GB2312" w:cs="Times New Roman"/>
          <w:color w:val="000000"/>
          <w:kern w:val="0"/>
          <w:sz w:val="32"/>
          <w:szCs w:val="32"/>
          <w:lang w:val="en-US" w:eastAsia="zh-CN" w:bidi="ar"/>
        </w:rPr>
      </w:pPr>
      <w:r>
        <w:rPr>
          <w:rFonts w:hint="eastAsia" w:ascii="仿宋_GB2312" w:hAnsi="仿宋_GB2312" w:eastAsia="仿宋_GB2312" w:cs="仿宋_GB2312"/>
          <w:b/>
          <w:bCs/>
          <w:color w:val="000000"/>
          <w:sz w:val="32"/>
          <w:szCs w:val="32"/>
          <w:lang w:val="en-US" w:eastAsia="zh-CN"/>
        </w:rPr>
        <w:t>1.严肃决策程序。</w:t>
      </w:r>
      <w:r>
        <w:rPr>
          <w:rFonts w:hint="eastAsia" w:ascii="Times New Roman" w:hAnsi="Times New Roman" w:eastAsia="仿宋_GB2312" w:cs="Times New Roman"/>
          <w:color w:val="000000"/>
          <w:kern w:val="0"/>
          <w:sz w:val="32"/>
          <w:szCs w:val="32"/>
          <w:lang w:val="en-US" w:eastAsia="zh-CN" w:bidi="ar"/>
        </w:rPr>
        <w:t>严格执行重大行政决策程序规定，确保各项决策符合法律法规、符合群众意愿。2025年，法律顾问参与审核重要合同协议63份，提出法律意见90余条，参与重大决策论证6次，有效防范法律风险。推动司法所长列席镇党委会议制度落实常态化，全年列席党政会议20次，对5项重大事项提出法律意见，保障决策的科学性与合法性。加强行政规范性文件管理，严格执行制定与备案审查制度，全年制定规范性文件1件，均按规定报送备案，备案审查合法率100%。</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jc w:val="both"/>
        <w:textAlignment w:val="auto"/>
        <w:rPr>
          <w:rFonts w:hint="eastAsia" w:ascii="Times New Roman" w:hAnsi="Times New Roman" w:eastAsia="仿宋_GB2312" w:cs="Times New Roman"/>
          <w:color w:val="000000"/>
          <w:kern w:val="0"/>
          <w:sz w:val="32"/>
          <w:szCs w:val="32"/>
          <w:lang w:val="en-US" w:eastAsia="zh-CN" w:bidi="ar"/>
        </w:rPr>
      </w:pPr>
      <w:r>
        <w:rPr>
          <w:rFonts w:hint="eastAsia" w:ascii="仿宋_GB2312" w:hAnsi="仿宋_GB2312" w:eastAsia="仿宋_GB2312" w:cs="仿宋_GB2312"/>
          <w:b/>
          <w:bCs/>
          <w:color w:val="000000"/>
          <w:sz w:val="32"/>
          <w:szCs w:val="32"/>
          <w:lang w:val="en-US" w:eastAsia="zh-CN"/>
        </w:rPr>
        <w:t>2.规范执法行为。</w:t>
      </w:r>
      <w:r>
        <w:rPr>
          <w:rFonts w:hint="eastAsia" w:ascii="Times New Roman" w:hAnsi="Times New Roman" w:eastAsia="仿宋_GB2312" w:cs="Times New Roman"/>
          <w:color w:val="000000"/>
          <w:kern w:val="0"/>
          <w:sz w:val="32"/>
          <w:szCs w:val="32"/>
          <w:lang w:val="en-US" w:eastAsia="zh-CN" w:bidi="ar"/>
        </w:rPr>
        <w:t>推进行政执法规范化建设，着力提升行政执法质量和效能。落实行政执法“三项制度”，</w:t>
      </w:r>
      <w:r>
        <w:rPr>
          <w:rFonts w:hint="default" w:ascii="Times New Roman" w:hAnsi="Times New Roman" w:eastAsia="仿宋_GB2312" w:cs="Times New Roman"/>
          <w:b w:val="0"/>
          <w:bCs w:val="0"/>
          <w:kern w:val="2"/>
          <w:sz w:val="32"/>
          <w:szCs w:val="32"/>
          <w:lang w:val="en-US" w:eastAsia="zh-CN" w:bidi="ar-SA"/>
        </w:rPr>
        <w:t>实施“</w:t>
      </w:r>
      <w:r>
        <w:rPr>
          <w:rFonts w:hint="eastAsia" w:ascii="Times New Roman" w:hAnsi="Times New Roman" w:eastAsia="仿宋_GB2312" w:cs="Times New Roman"/>
          <w:b w:val="0"/>
          <w:bCs w:val="0"/>
          <w:kern w:val="2"/>
          <w:sz w:val="32"/>
          <w:szCs w:val="32"/>
          <w:lang w:val="en-US" w:eastAsia="zh-CN" w:bidi="ar-SA"/>
        </w:rPr>
        <w:t>一</w:t>
      </w:r>
      <w:r>
        <w:rPr>
          <w:rFonts w:hint="default" w:ascii="Times New Roman" w:hAnsi="Times New Roman" w:eastAsia="仿宋_GB2312" w:cs="Times New Roman"/>
          <w:b w:val="0"/>
          <w:bCs w:val="0"/>
          <w:kern w:val="2"/>
          <w:sz w:val="32"/>
          <w:szCs w:val="32"/>
          <w:lang w:val="en-US" w:eastAsia="zh-CN" w:bidi="ar-SA"/>
        </w:rPr>
        <w:t>支队伍执法、多名干部挂钩”的工作机制，确保行政执法程序合法、公正。</w:t>
      </w:r>
      <w:r>
        <w:rPr>
          <w:rFonts w:hint="eastAsia" w:ascii="Times New Roman" w:hAnsi="Times New Roman" w:eastAsia="仿宋_GB2312" w:cs="Times New Roman"/>
          <w:color w:val="000000"/>
          <w:kern w:val="0"/>
          <w:sz w:val="32"/>
          <w:szCs w:val="32"/>
          <w:lang w:val="en-US" w:eastAsia="zh-CN" w:bidi="ar"/>
        </w:rPr>
        <w:t>全镇现有18人已取得执法资格，成立12人的综合执法队伍，今年以来，完成行政检查65件、行政处罚2件，解决民生领域行政执法突出问题7件。组织参加庭审旁听2场次，开展行政执法人员培训2次，邀请区法院作专题培训1次，参加培训人员达120余人次。深入推进政务公开，打造“阳光政府”，全年主动公开政府信息9条，通过公众号发布信息314条。及时更新党务、政务公开公示内容，严格落实村级小型建设项目“阳光直播”，不断增强政府工作透明度。</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jc w:val="both"/>
        <w:textAlignment w:val="auto"/>
        <w:rPr>
          <w:rFonts w:hint="eastAsia" w:ascii="Times New Roman" w:hAnsi="Times New Roman" w:eastAsia="仿宋_GB2312" w:cs="Times New Roman"/>
          <w:color w:val="000000"/>
          <w:kern w:val="0"/>
          <w:sz w:val="32"/>
          <w:szCs w:val="32"/>
          <w:lang w:val="en-US" w:eastAsia="zh-CN" w:bidi="ar"/>
        </w:rPr>
      </w:pPr>
      <w:r>
        <w:rPr>
          <w:rFonts w:hint="eastAsia" w:ascii="仿宋_GB2312" w:hAnsi="仿宋_GB2312" w:eastAsia="仿宋_GB2312" w:cs="仿宋_GB2312"/>
          <w:b/>
          <w:bCs/>
          <w:color w:val="000000"/>
          <w:sz w:val="32"/>
          <w:szCs w:val="32"/>
          <w:lang w:val="en-US" w:eastAsia="zh-CN"/>
        </w:rPr>
        <w:t>3.优化营商环境。</w:t>
      </w:r>
      <w:r>
        <w:rPr>
          <w:rFonts w:hint="eastAsia" w:ascii="Times New Roman" w:hAnsi="Times New Roman" w:eastAsia="仿宋_GB2312" w:cs="Times New Roman"/>
          <w:color w:val="000000"/>
          <w:kern w:val="0"/>
          <w:sz w:val="32"/>
          <w:szCs w:val="32"/>
          <w:lang w:val="en-US" w:eastAsia="zh-CN" w:bidi="ar"/>
        </w:rPr>
        <w:t>创新实施涉企行政执法检查备案管理制度，推广应用“闽执法”平台，全面推行“综合查一次”模式，着力打造市场化、法治化、便利化营商环境。开展“法律服务进企业”活动，组织法律顾问为5家企业开展“法治体检”，提供法律咨询服务10件次，化解涉企矛盾纠纷6件。加大招商引资法治保障力度，推动实现全年完成洽谈储备项目17个，新签约产业类项目3个、开工项目3个、竣工项目2个，提前完成全年指标任务。推动春驰水泥、印象雨林、南侨商品混凝土等重点企业先后实施技改提升，年产值同比增长10%以上，企业发展实力不断提升，2025年规上工业生产总值同比增长1.02%，经验做法在全区经济工作会议上作典型发言，法治已成为坎市营商环境的重要标志。</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jc w:val="both"/>
        <w:textAlignment w:val="auto"/>
        <w:rPr>
          <w:rFonts w:hint="eastAsia" w:ascii="楷体_GB2312" w:hAnsi="楷体_GB2312" w:eastAsia="楷体_GB2312" w:cs="楷体_GB2312"/>
          <w:b/>
          <w:bCs/>
          <w:color w:val="000000"/>
          <w:sz w:val="32"/>
          <w:szCs w:val="32"/>
          <w:lang w:val="en-US" w:eastAsia="zh-CN"/>
        </w:rPr>
      </w:pPr>
      <w:r>
        <w:rPr>
          <w:rFonts w:hint="eastAsia" w:ascii="楷体_GB2312" w:hAnsi="楷体_GB2312" w:eastAsia="楷体_GB2312" w:cs="楷体_GB2312"/>
          <w:b/>
          <w:bCs/>
          <w:kern w:val="2"/>
          <w:sz w:val="32"/>
          <w:szCs w:val="32"/>
          <w:lang w:val="en-US" w:eastAsia="zh-CN" w:bidi="ar-SA"/>
        </w:rPr>
        <w:t>（三）深化法治惠民，推进法治社会建设</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eastAsia" w:ascii="仿宋_GB2312" w:hAnsi="仿宋_GB2312" w:eastAsia="仿宋_GB2312" w:cs="仿宋_GB2312"/>
          <w:b/>
          <w:bCs/>
          <w:color w:val="000000"/>
          <w:sz w:val="32"/>
          <w:szCs w:val="32"/>
          <w:lang w:val="en-US" w:eastAsia="zh-CN"/>
        </w:rPr>
        <w:t>1.强化普法宣传。</w:t>
      </w:r>
      <w:r>
        <w:rPr>
          <w:rFonts w:hint="eastAsia" w:ascii="Times New Roman" w:hAnsi="Times New Roman" w:eastAsia="仿宋_GB2312" w:cs="Times New Roman"/>
          <w:color w:val="000000"/>
          <w:kern w:val="0"/>
          <w:sz w:val="32"/>
          <w:szCs w:val="32"/>
          <w:lang w:val="en-US" w:eastAsia="zh-CN" w:bidi="ar"/>
        </w:rPr>
        <w:t>紧紧围绕“八五”普法规划，创新开展法治宣传教育，营造全社会尊法学法守法用法良好氛围。充分借助承办2025年中国农民丰收节福建省分会场、第三届全省“村BA”等省级活动赛事开展普法宣传活动，推动普法宣传与特色文化深度融合。落实“谁执法谁普法”责任制，制定镇级普法责任清单，明确20个部门普法责任，全年开展“法律六进”活动15场次，覆盖群众3500人次。加强青少年法治教育，配备法治副校长2名，开展“法治进校园”活动6场次，覆盖师生2000人次。</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jc w:val="both"/>
        <w:textAlignment w:val="auto"/>
        <w:rPr>
          <w:rFonts w:hint="eastAsia" w:ascii="Times New Roman" w:hAnsi="Times New Roman" w:eastAsia="仿宋_GB2312" w:cs="Times New Roman"/>
          <w:color w:val="000000"/>
          <w:kern w:val="0"/>
          <w:sz w:val="32"/>
          <w:szCs w:val="32"/>
          <w:lang w:val="en-US" w:eastAsia="zh-CN" w:bidi="ar"/>
        </w:rPr>
      </w:pPr>
      <w:r>
        <w:rPr>
          <w:rFonts w:hint="eastAsia" w:ascii="仿宋_GB2312" w:hAnsi="仿宋_GB2312" w:eastAsia="仿宋_GB2312" w:cs="仿宋_GB2312"/>
          <w:b/>
          <w:bCs/>
          <w:color w:val="000000"/>
          <w:sz w:val="32"/>
          <w:szCs w:val="32"/>
          <w:lang w:val="en-US" w:eastAsia="zh-CN"/>
        </w:rPr>
        <w:t>2.打造特色阵地。</w:t>
      </w:r>
      <w:r>
        <w:rPr>
          <w:rFonts w:hint="eastAsia" w:ascii="Times New Roman" w:hAnsi="Times New Roman" w:eastAsia="仿宋_GB2312" w:cs="Times New Roman"/>
          <w:color w:val="000000"/>
          <w:kern w:val="0"/>
          <w:sz w:val="32"/>
          <w:szCs w:val="32"/>
          <w:lang w:val="en-US" w:eastAsia="zh-CN" w:bidi="ar"/>
        </w:rPr>
        <w:t>围绕坎市特色文化资源，创新推动村级特色法治阵地建设。立足清溪村“一门四代五翰林六举人”文化资源，推动优秀传统文化与现代法治理念有效融合，示范打造“翰林法治文化长廊”“说理亭”“法治公园”等特色法治宣传阵地，进一步</w:t>
      </w:r>
      <w:r>
        <w:rPr>
          <w:rFonts w:hint="default" w:ascii="Times New Roman" w:hAnsi="Times New Roman" w:eastAsia="仿宋_GB2312" w:cs="Times New Roman"/>
          <w:color w:val="000000"/>
          <w:kern w:val="0"/>
          <w:sz w:val="32"/>
          <w:szCs w:val="32"/>
          <w:lang w:val="en-US" w:eastAsia="zh-CN" w:bidi="ar"/>
        </w:rPr>
        <w:t>丰富法治文化传播形式与内容</w:t>
      </w:r>
      <w:r>
        <w:rPr>
          <w:rFonts w:hint="eastAsia" w:ascii="Times New Roman" w:hAnsi="Times New Roman" w:eastAsia="仿宋_GB2312" w:cs="Times New Roman"/>
          <w:color w:val="000000"/>
          <w:kern w:val="0"/>
          <w:sz w:val="32"/>
          <w:szCs w:val="32"/>
          <w:lang w:val="en-US" w:eastAsia="zh-CN" w:bidi="ar"/>
        </w:rPr>
        <w:t>，推动法治教育更“接地气”，清溪村拟获评全国民主法治示范村。同时，在村（社区）长者食堂等村民高频活动场所融入德治教育内容，定期举办“家风故事会”“法治与道德主题座谈”等活动，实现法治约束与道德教化相辅相成、相互促进。</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eastAsia" w:ascii="仿宋_GB2312" w:hAnsi="仿宋_GB2312" w:eastAsia="仿宋_GB2312" w:cs="仿宋_GB2312"/>
          <w:b/>
          <w:bCs/>
          <w:color w:val="000000"/>
          <w:sz w:val="32"/>
          <w:szCs w:val="32"/>
          <w:lang w:val="en-US" w:eastAsia="zh-CN"/>
        </w:rPr>
        <w:t>3.创新社会治理。</w:t>
      </w:r>
      <w:r>
        <w:rPr>
          <w:rFonts w:hint="eastAsia" w:ascii="Times New Roman" w:hAnsi="Times New Roman" w:eastAsia="仿宋_GB2312" w:cs="Times New Roman"/>
          <w:color w:val="000000"/>
          <w:kern w:val="0"/>
          <w:sz w:val="32"/>
          <w:szCs w:val="32"/>
          <w:lang w:val="en-US" w:eastAsia="zh-CN" w:bidi="ar"/>
        </w:rPr>
        <w:t>坚持和发展新时代“枫桥经验”，结合坎市实际创新推行“1234+N”治理工作法，经验做法入选《2025年龙岩市“枫桥式工作法经验材料汇编”》并被省级主流媒体刊发推广。完善多元化解机制，配备专职人民调解员3名，建立“云川桑榆调解队”“乡贤评理团”等特色调解队伍2支。充分发挥镇综治中心枢纽作用，实行“一站式”纠纷解决服务，建立“集中受理、分类办理、限时办结”的工作机制，全年通过综治中心受理各类矛盾纠纷257件，成功化解255件，化解成功率达99.22%，涉及金额570.86万元，攻坚化解8起历史积案，并成功解决79名员工集体劳资纠纷事件，实现“小事不出村、大事不出镇、矛盾不上交”的治理目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b w:val="0"/>
          <w:bCs w:val="0"/>
          <w:kern w:val="2"/>
          <w:sz w:val="32"/>
          <w:szCs w:val="32"/>
          <w:lang w:val="en-US" w:eastAsia="zh-CN" w:bidi="ar-SA"/>
        </w:rPr>
      </w:pPr>
      <w:r>
        <w:rPr>
          <w:rFonts w:hint="eastAsia" w:ascii="Times New Roman" w:hAnsi="Times New Roman" w:eastAsia="黑体" w:cs="Times New Roman"/>
          <w:b w:val="0"/>
          <w:bCs w:val="0"/>
          <w:kern w:val="2"/>
          <w:sz w:val="32"/>
          <w:szCs w:val="32"/>
          <w:lang w:val="en-US" w:eastAsia="zh-CN" w:bidi="ar-SA"/>
        </w:rPr>
        <w:t>二</w:t>
      </w:r>
      <w:r>
        <w:rPr>
          <w:rFonts w:hint="default" w:ascii="Times New Roman" w:hAnsi="Times New Roman" w:eastAsia="黑体" w:cs="Times New Roman"/>
          <w:b w:val="0"/>
          <w:bCs w:val="0"/>
          <w:kern w:val="2"/>
          <w:sz w:val="32"/>
          <w:szCs w:val="32"/>
          <w:lang w:val="en-US" w:eastAsia="zh-CN" w:bidi="ar-SA"/>
        </w:rPr>
        <w:t>、存在的问题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在肯定成绩的同时，我们也清醒地认识到，坎市镇法治政府建设仍存在一些突出问题和短板：</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楷体_GB2312" w:cs="Times New Roman"/>
          <w:b/>
          <w:bCs/>
          <w:color w:val="000000"/>
          <w:sz w:val="32"/>
          <w:szCs w:val="32"/>
          <w:lang w:val="en-US" w:eastAsia="zh-CN"/>
        </w:rPr>
        <w:t>（一）</w:t>
      </w:r>
      <w:r>
        <w:rPr>
          <w:rFonts w:hint="default" w:ascii="Times New Roman" w:hAnsi="Times New Roman" w:eastAsia="楷体_GB2312" w:cs="Times New Roman"/>
          <w:b/>
          <w:bCs/>
          <w:color w:val="000000"/>
          <w:sz w:val="32"/>
          <w:szCs w:val="32"/>
          <w:lang w:val="en-US" w:eastAsia="zh-CN"/>
        </w:rPr>
        <w:t>依法行政能力不均衡。</w:t>
      </w:r>
      <w:r>
        <w:rPr>
          <w:rFonts w:hint="default" w:ascii="Times New Roman" w:hAnsi="Times New Roman" w:eastAsia="仿宋_GB2312" w:cs="Times New Roman"/>
          <w:color w:val="000000"/>
          <w:kern w:val="0"/>
          <w:sz w:val="32"/>
          <w:szCs w:val="32"/>
          <w:lang w:val="en-US" w:eastAsia="zh-CN" w:bidi="ar"/>
        </w:rPr>
        <w:t>部分职能部门和执法人员在应对新业态、新领域出现的问题时，法律适用和执法方式有待改进。</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楷体_GB2312" w:cs="Times New Roman"/>
          <w:b/>
          <w:bCs/>
          <w:color w:val="000000"/>
          <w:sz w:val="32"/>
          <w:szCs w:val="32"/>
          <w:lang w:val="en-US" w:eastAsia="zh-CN"/>
        </w:rPr>
        <w:t>（二）</w:t>
      </w:r>
      <w:r>
        <w:rPr>
          <w:rFonts w:hint="default" w:ascii="Times New Roman" w:hAnsi="Times New Roman" w:eastAsia="楷体_GB2312" w:cs="Times New Roman"/>
          <w:b/>
          <w:bCs/>
          <w:color w:val="000000"/>
          <w:sz w:val="32"/>
          <w:szCs w:val="32"/>
          <w:lang w:val="en-US" w:eastAsia="zh-CN"/>
        </w:rPr>
        <w:t>法治宣传实效有差距。</w:t>
      </w:r>
      <w:r>
        <w:rPr>
          <w:rFonts w:hint="default" w:ascii="Times New Roman" w:hAnsi="Times New Roman" w:eastAsia="仿宋_GB2312" w:cs="Times New Roman"/>
          <w:color w:val="000000"/>
          <w:kern w:val="0"/>
          <w:sz w:val="32"/>
          <w:szCs w:val="32"/>
          <w:lang w:val="en-US" w:eastAsia="zh-CN" w:bidi="ar"/>
        </w:rPr>
        <w:t>普法宣传的精准性和实效性有待增强，运用新媒体普法的能力和水平需要提高，普法内容的针对性和吸引力不足。</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楷体_GB2312" w:cs="Times New Roman"/>
          <w:b/>
          <w:bCs/>
          <w:color w:val="000000"/>
          <w:sz w:val="32"/>
          <w:szCs w:val="32"/>
          <w:lang w:val="en-US" w:eastAsia="zh-CN"/>
        </w:rPr>
        <w:t>（三）</w:t>
      </w:r>
      <w:r>
        <w:rPr>
          <w:rFonts w:hint="default" w:ascii="Times New Roman" w:hAnsi="Times New Roman" w:eastAsia="楷体_GB2312" w:cs="Times New Roman"/>
          <w:b/>
          <w:bCs/>
          <w:color w:val="000000"/>
          <w:sz w:val="32"/>
          <w:szCs w:val="32"/>
          <w:lang w:val="en-US" w:eastAsia="zh-CN"/>
        </w:rPr>
        <w:t>部门联动机制不完善。</w:t>
      </w:r>
      <w:r>
        <w:rPr>
          <w:rFonts w:hint="default" w:ascii="Times New Roman" w:hAnsi="Times New Roman" w:eastAsia="仿宋_GB2312" w:cs="Times New Roman"/>
          <w:color w:val="000000"/>
          <w:kern w:val="0"/>
          <w:sz w:val="32"/>
          <w:szCs w:val="32"/>
          <w:lang w:val="en-US" w:eastAsia="zh-CN" w:bidi="ar"/>
        </w:rPr>
        <w:t>在行政执法过程中，各部门之间的信息共享和协作配合不够顺畅，跨部门联合执法机制有待完善。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eastAsia" w:ascii="Times New Roman" w:hAnsi="Times New Roman" w:eastAsia="黑体" w:cs="Times New Roman"/>
          <w:b w:val="0"/>
          <w:bCs w:val="0"/>
          <w:kern w:val="2"/>
          <w:sz w:val="32"/>
          <w:szCs w:val="32"/>
          <w:lang w:val="en-US" w:eastAsia="zh-CN" w:bidi="ar-SA"/>
        </w:rPr>
        <w:t>三</w:t>
      </w:r>
      <w:r>
        <w:rPr>
          <w:rFonts w:hint="default" w:ascii="Times New Roman" w:hAnsi="Times New Roman" w:eastAsia="黑体" w:cs="Times New Roman"/>
          <w:b w:val="0"/>
          <w:bCs w:val="0"/>
          <w:kern w:val="2"/>
          <w:sz w:val="32"/>
          <w:szCs w:val="32"/>
          <w:lang w:val="en-US" w:eastAsia="zh-CN" w:bidi="ar-SA"/>
        </w:rPr>
        <w:t>、</w:t>
      </w:r>
      <w:r>
        <w:rPr>
          <w:rFonts w:hint="eastAsia" w:ascii="Times New Roman" w:hAnsi="Times New Roman" w:eastAsia="黑体" w:cs="Times New Roman"/>
          <w:b w:val="0"/>
          <w:bCs w:val="0"/>
          <w:kern w:val="2"/>
          <w:sz w:val="32"/>
          <w:szCs w:val="32"/>
          <w:lang w:val="en-US" w:eastAsia="zh-CN" w:bidi="ar-SA"/>
        </w:rPr>
        <w:t>下一步工作计划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b w:val="0"/>
          <w:bCs w:val="0"/>
          <w:kern w:val="2"/>
          <w:sz w:val="32"/>
          <w:szCs w:val="32"/>
          <w:lang w:val="en-US" w:eastAsia="zh-CN" w:bidi="ar-SA"/>
        </w:rPr>
        <w:t>下一步，我镇将聚焦持续聚焦法治建设，坚持和发展新时代“枫桥经验”，持续提升依法行政质量，推进乡村治理有效，不断提高依法服务社会经济发展的能力和水平，为推进全区法治政府建设示范创建贡献坎市力量。</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楷体_GB2312" w:cs="Times New Roman"/>
          <w:b/>
          <w:bCs/>
          <w:color w:val="000000"/>
          <w:sz w:val="32"/>
          <w:szCs w:val="32"/>
          <w:lang w:val="en-US" w:eastAsia="zh-CN"/>
        </w:rPr>
        <w:t>（一）着力</w:t>
      </w:r>
      <w:r>
        <w:rPr>
          <w:rFonts w:hint="default" w:ascii="Times New Roman" w:hAnsi="Times New Roman" w:eastAsia="楷体_GB2312" w:cs="Times New Roman"/>
          <w:b/>
          <w:bCs/>
          <w:color w:val="000000"/>
          <w:sz w:val="32"/>
          <w:szCs w:val="32"/>
          <w:lang w:val="en-US" w:eastAsia="zh-CN"/>
        </w:rPr>
        <w:t>提升依法行政能力。</w:t>
      </w:r>
      <w:r>
        <w:rPr>
          <w:rFonts w:hint="default" w:ascii="Times New Roman" w:hAnsi="Times New Roman" w:eastAsia="仿宋_GB2312" w:cs="Times New Roman"/>
          <w:color w:val="000000"/>
          <w:kern w:val="0"/>
          <w:sz w:val="32"/>
          <w:szCs w:val="32"/>
          <w:lang w:val="en-US" w:eastAsia="zh-CN" w:bidi="ar"/>
        </w:rPr>
        <w:t>建立健全法治能力考核评价机制，将依法行政情况纳入绩效考核体系，加强行政执法人员和领导干部法治培训，探索建立法治工作队伍交流锻炼机制，提升依法行政专业化水平。</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楷体_GB2312" w:cs="Times New Roman"/>
          <w:b/>
          <w:bCs/>
          <w:color w:val="000000"/>
          <w:sz w:val="32"/>
          <w:szCs w:val="32"/>
          <w:lang w:val="en-US" w:eastAsia="zh-CN"/>
        </w:rPr>
        <w:t>（二）着力</w:t>
      </w:r>
      <w:r>
        <w:rPr>
          <w:rFonts w:hint="default" w:ascii="Times New Roman" w:hAnsi="Times New Roman" w:eastAsia="楷体_GB2312" w:cs="Times New Roman"/>
          <w:b/>
          <w:bCs/>
          <w:color w:val="000000"/>
          <w:sz w:val="32"/>
          <w:szCs w:val="32"/>
          <w:lang w:val="en-US" w:eastAsia="zh-CN"/>
        </w:rPr>
        <w:t>深化法治宣传创新。</w:t>
      </w:r>
      <w:r>
        <w:rPr>
          <w:rFonts w:hint="default" w:ascii="Times New Roman" w:hAnsi="Times New Roman" w:eastAsia="仿宋_GB2312" w:cs="Times New Roman"/>
          <w:color w:val="000000"/>
          <w:kern w:val="0"/>
          <w:sz w:val="32"/>
          <w:szCs w:val="32"/>
          <w:lang w:val="en-US" w:eastAsia="zh-CN" w:bidi="ar"/>
        </w:rPr>
        <w:t>充分利用新媒体平台，创新普法方式，打造</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智慧普法</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平台，深化</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法律六进</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活动，打造法治宣传教育示范基地，提升法治宣传的针对性和实效性。</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楷体_GB2312" w:cs="Times New Roman"/>
          <w:b/>
          <w:bCs/>
          <w:color w:val="000000"/>
          <w:sz w:val="32"/>
          <w:szCs w:val="32"/>
          <w:lang w:val="en-US" w:eastAsia="zh-CN"/>
        </w:rPr>
        <w:t>（三）着力</w:t>
      </w:r>
      <w:r>
        <w:rPr>
          <w:rFonts w:hint="default" w:ascii="Times New Roman" w:hAnsi="Times New Roman" w:eastAsia="楷体_GB2312" w:cs="Times New Roman"/>
          <w:b/>
          <w:bCs/>
          <w:color w:val="000000"/>
          <w:sz w:val="32"/>
          <w:szCs w:val="32"/>
          <w:lang w:val="en-US" w:eastAsia="zh-CN"/>
        </w:rPr>
        <w:t>强化执法协调监督。</w:t>
      </w:r>
      <w:r>
        <w:rPr>
          <w:rFonts w:hint="default" w:ascii="Times New Roman" w:hAnsi="Times New Roman" w:eastAsia="仿宋_GB2312" w:cs="Times New Roman"/>
          <w:color w:val="000000"/>
          <w:kern w:val="0"/>
          <w:sz w:val="32"/>
          <w:szCs w:val="32"/>
          <w:lang w:val="en-US" w:eastAsia="zh-CN" w:bidi="ar"/>
        </w:rPr>
        <w:t>建立健全行政执法协调监督工作体系，完善行政执法权限协调机制。全面推进</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智慧执法</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建设，推广应用行政执法平台，实现执法信息共享和业务协同。完善行政执法案例指导制度，定期发布典型案例，规范执法行为。</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楷体_GB2312" w:cs="Times New Roman"/>
          <w:b/>
          <w:bCs/>
          <w:color w:val="000000"/>
          <w:sz w:val="32"/>
          <w:szCs w:val="32"/>
          <w:lang w:val="en-US" w:eastAsia="zh-CN"/>
        </w:rPr>
        <w:t>（四）着力</w:t>
      </w:r>
      <w:r>
        <w:rPr>
          <w:rFonts w:hint="default" w:ascii="Times New Roman" w:hAnsi="Times New Roman" w:eastAsia="楷体_GB2312" w:cs="Times New Roman"/>
          <w:b/>
          <w:bCs/>
          <w:color w:val="000000"/>
          <w:sz w:val="32"/>
          <w:szCs w:val="32"/>
          <w:lang w:val="en-US" w:eastAsia="zh-CN"/>
        </w:rPr>
        <w:t>优化基层治理体系。</w:t>
      </w:r>
      <w:r>
        <w:rPr>
          <w:rFonts w:hint="default" w:ascii="Times New Roman" w:hAnsi="Times New Roman" w:eastAsia="仿宋_GB2312" w:cs="Times New Roman"/>
          <w:color w:val="000000"/>
          <w:kern w:val="0"/>
          <w:sz w:val="32"/>
          <w:szCs w:val="32"/>
          <w:lang w:val="en-US" w:eastAsia="zh-CN" w:bidi="ar"/>
        </w:rPr>
        <w:t>深化“1234+N”工作法，完善公共法律服务体系，推进实体平台规范化建设。加快推进</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法治乡村</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建设、民主法治示范村创建工作。</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580" w:lineRule="exact"/>
        <w:ind w:firstLine="2880" w:firstLineChars="900"/>
        <w:jc w:val="both"/>
        <w:textAlignment w:val="auto"/>
        <w:rPr>
          <w:rFonts w:hint="default" w:ascii="Times New Roman" w:hAnsi="Times New Roman" w:eastAsia="仿宋_GB2312" w:cs="Times New Roman"/>
          <w:color w:val="000000"/>
          <w:kern w:val="0"/>
          <w:sz w:val="32"/>
          <w:szCs w:val="32"/>
          <w:lang w:val="en-US" w:eastAsia="zh-CN" w:bidi="ar"/>
        </w:rPr>
      </w:pPr>
    </w:p>
    <w:tbl>
      <w:tblPr>
        <w:tblStyle w:val="7"/>
        <w:tblpPr w:leftFromText="180" w:rightFromText="180" w:vertAnchor="text" w:horzAnchor="page" w:tblpX="1591" w:tblpY="695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44" w:type="dxa"/>
            <w:tcBorders>
              <w:top w:val="single" w:color="auto" w:sz="12" w:space="0"/>
              <w:left w:val="nil"/>
              <w:bottom w:val="single" w:color="auto" w:sz="8" w:space="0"/>
              <w:right w:val="nil"/>
            </w:tcBorders>
            <w:vAlign w:val="top"/>
          </w:tcPr>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320" w:firstLineChars="100"/>
              <w:jc w:val="both"/>
              <w:textAlignment w:val="auto"/>
              <w:rPr>
                <w:rFonts w:hint="default" w:ascii="Times New Roman" w:hAnsi="Times New Roman" w:eastAsia="仿宋_GB2312" w:cs="Times New Roman"/>
                <w:kern w:val="2"/>
                <w:sz w:val="32"/>
                <w:szCs w:val="32"/>
                <w:vertAlign w:val="baseline"/>
                <w:lang w:val="en-US" w:eastAsia="zh-CN" w:bidi="ar-SA"/>
              </w:rPr>
            </w:pPr>
            <w:r>
              <w:rPr>
                <w:rFonts w:hint="default" w:ascii="Times New Roman" w:hAnsi="Times New Roman" w:eastAsia="仿宋_GB2312" w:cs="Times New Roman"/>
                <w:kern w:val="2"/>
                <w:sz w:val="32"/>
                <w:szCs w:val="32"/>
                <w:vertAlign w:val="baseline"/>
                <w:lang w:val="en-US" w:eastAsia="zh-CN" w:bidi="ar-SA"/>
              </w:rPr>
              <w:t>抄送：区委依法治区办。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44" w:type="dxa"/>
            <w:tcBorders>
              <w:top w:val="single" w:color="auto" w:sz="8" w:space="0"/>
              <w:left w:val="nil"/>
              <w:bottom w:val="single" w:color="auto" w:sz="12" w:space="0"/>
              <w:right w:val="nil"/>
            </w:tcBorders>
            <w:vAlign w:val="top"/>
          </w:tcPr>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320" w:firstLineChars="100"/>
              <w:jc w:val="both"/>
              <w:textAlignment w:val="auto"/>
              <w:rPr>
                <w:rFonts w:hint="default" w:ascii="Times New Roman" w:hAnsi="Times New Roman" w:eastAsia="仿宋_GB2312" w:cs="Times New Roman"/>
                <w:kern w:val="2"/>
                <w:sz w:val="32"/>
                <w:szCs w:val="32"/>
                <w:vertAlign w:val="baseline"/>
                <w:lang w:val="en-US" w:eastAsia="zh-CN" w:bidi="ar-SA"/>
              </w:rPr>
            </w:pPr>
            <w:r>
              <w:rPr>
                <w:rFonts w:hint="default" w:ascii="Times New Roman" w:hAnsi="Times New Roman" w:eastAsia="仿宋_GB2312" w:cs="Times New Roman"/>
                <w:kern w:val="2"/>
                <w:sz w:val="32"/>
                <w:szCs w:val="32"/>
                <w:vertAlign w:val="baseline"/>
                <w:lang w:val="en-US" w:eastAsia="zh-CN" w:bidi="ar-SA"/>
              </w:rPr>
              <w:t>坎市镇党政综合办公室            2025年12月31日印发</w:t>
            </w:r>
          </w:p>
        </w:tc>
      </w:tr>
    </w:tbl>
    <w:p>
      <w:pPr>
        <w:keepNext w:val="0"/>
        <w:keepLines w:val="0"/>
        <w:pageBreakBefore w:val="0"/>
        <w:widowControl w:val="0"/>
        <w:kinsoku/>
        <w:wordWrap w:val="0"/>
        <w:overflowPunct/>
        <w:topLinePunct w:val="0"/>
        <w:autoSpaceDE/>
        <w:autoSpaceDN/>
        <w:bidi w:val="0"/>
        <w:adjustRightInd/>
        <w:snapToGrid/>
        <w:spacing w:line="580" w:lineRule="exact"/>
        <w:ind w:firstLine="4800" w:firstLineChars="1500"/>
        <w:jc w:val="right"/>
        <w:textAlignment w:val="auto"/>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 xml:space="preserve">中共坎市镇委员会  </w:t>
      </w:r>
    </w:p>
    <w:p>
      <w:pPr>
        <w:keepNext w:val="0"/>
        <w:keepLines w:val="0"/>
        <w:pageBreakBefore w:val="0"/>
        <w:widowControl w:val="0"/>
        <w:kinsoku/>
        <w:wordWrap w:val="0"/>
        <w:overflowPunct/>
        <w:topLinePunct w:val="0"/>
        <w:autoSpaceDE/>
        <w:autoSpaceDN/>
        <w:bidi w:val="0"/>
        <w:adjustRightInd/>
        <w:snapToGrid/>
        <w:spacing w:line="580" w:lineRule="exact"/>
        <w:ind w:firstLine="4800" w:firstLineChars="1500"/>
        <w:jc w:val="right"/>
        <w:textAlignment w:val="auto"/>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 xml:space="preserve">坎市镇人民政府  </w:t>
      </w:r>
    </w:p>
    <w:p>
      <w:pPr>
        <w:keepNext w:val="0"/>
        <w:keepLines w:val="0"/>
        <w:pageBreakBefore w:val="0"/>
        <w:widowControl w:val="0"/>
        <w:kinsoku/>
        <w:wordWrap w:val="0"/>
        <w:overflowPunct/>
        <w:topLinePunct w:val="0"/>
        <w:autoSpaceDE/>
        <w:autoSpaceDN/>
        <w:bidi w:val="0"/>
        <w:adjustRightInd/>
        <w:snapToGrid/>
        <w:spacing w:line="580" w:lineRule="exact"/>
        <w:ind w:firstLine="4800" w:firstLineChars="1500"/>
        <w:jc w:val="right"/>
        <w:textAlignment w:val="auto"/>
        <w:rPr>
          <w:rFonts w:hint="eastAsia"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2025年12月</w:t>
      </w:r>
      <w:r>
        <w:rPr>
          <w:rFonts w:hint="eastAsia" w:ascii="Times New Roman" w:hAnsi="Times New Roman" w:eastAsia="仿宋_GB2312" w:cs="Times New Roman"/>
          <w:color w:val="000000"/>
          <w:kern w:val="0"/>
          <w:sz w:val="32"/>
          <w:szCs w:val="32"/>
          <w:lang w:val="en-US" w:eastAsia="zh-CN" w:bidi="ar"/>
        </w:rPr>
        <w:t>31</w:t>
      </w:r>
      <w:r>
        <w:rPr>
          <w:rFonts w:hint="default" w:ascii="Times New Roman" w:hAnsi="Times New Roman" w:eastAsia="仿宋_GB2312" w:cs="Times New Roman"/>
          <w:color w:val="000000"/>
          <w:kern w:val="0"/>
          <w:sz w:val="32"/>
          <w:szCs w:val="32"/>
          <w:lang w:val="en-US" w:eastAsia="zh-CN" w:bidi="ar"/>
        </w:rPr>
        <w:t>日</w:t>
      </w:r>
      <w:r>
        <w:rPr>
          <w:rFonts w:hint="eastAsia" w:ascii="Times New Roman" w:hAnsi="Times New Roman" w:eastAsia="仿宋_GB2312" w:cs="Times New Roman"/>
          <w:color w:val="000000"/>
          <w:kern w:val="0"/>
          <w:sz w:val="32"/>
          <w:szCs w:val="32"/>
          <w:lang w:val="en-US" w:eastAsia="zh-CN" w:bidi="ar"/>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4800" w:firstLineChars="1500"/>
        <w:jc w:val="right"/>
        <w:textAlignment w:val="auto"/>
        <w:rPr>
          <w:rFonts w:hint="eastAsia" w:ascii="Times New Roman" w:hAnsi="Times New Roman" w:eastAsia="仿宋_GB2312" w:cs="Times New Roman"/>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580" w:lineRule="exact"/>
        <w:ind w:firstLine="4800" w:firstLineChars="1500"/>
        <w:jc w:val="right"/>
        <w:textAlignment w:val="auto"/>
        <w:rPr>
          <w:rFonts w:hint="eastAsia" w:ascii="Times New Roman" w:hAnsi="Times New Roman" w:eastAsia="仿宋_GB2312" w:cs="Times New Roman"/>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580" w:lineRule="exact"/>
        <w:ind w:firstLine="4800" w:firstLineChars="1500"/>
        <w:jc w:val="right"/>
        <w:textAlignment w:val="auto"/>
        <w:rPr>
          <w:rFonts w:hint="eastAsia" w:ascii="Times New Roman" w:hAnsi="Times New Roman" w:eastAsia="仿宋_GB2312" w:cs="Times New Roman"/>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580" w:lineRule="exact"/>
        <w:ind w:firstLine="4800" w:firstLineChars="1500"/>
        <w:jc w:val="right"/>
        <w:textAlignment w:val="auto"/>
        <w:rPr>
          <w:rFonts w:hint="eastAsia" w:ascii="Times New Roman" w:hAnsi="Times New Roman" w:eastAsia="仿宋_GB2312" w:cs="Times New Roman"/>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580" w:lineRule="exact"/>
        <w:ind w:firstLine="4800" w:firstLineChars="1500"/>
        <w:jc w:val="right"/>
        <w:textAlignment w:val="auto"/>
        <w:rPr>
          <w:rFonts w:hint="eastAsia" w:ascii="Times New Roman" w:hAnsi="Times New Roman" w:eastAsia="仿宋_GB2312" w:cs="Times New Roman"/>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580" w:lineRule="exact"/>
        <w:ind w:firstLine="4800" w:firstLineChars="1500"/>
        <w:jc w:val="right"/>
        <w:textAlignment w:val="auto"/>
        <w:rPr>
          <w:rFonts w:hint="default" w:ascii="Times New Roman" w:hAnsi="Times New Roman" w:eastAsia="仿宋_GB2312" w:cs="Times New Roman"/>
          <w:color w:val="000000"/>
          <w:kern w:val="0"/>
          <w:sz w:val="32"/>
          <w:szCs w:val="32"/>
          <w:lang w:val="en-US" w:eastAsia="zh-CN" w:bidi="ar"/>
        </w:rPr>
      </w:pPr>
      <w:bookmarkStart w:id="0" w:name="_GoBack"/>
      <w:bookmarkEnd w:id="0"/>
    </w:p>
    <w:sectPr>
      <w:footerReference r:id="rId3" w:type="default"/>
      <w:pgSz w:w="11906" w:h="16838"/>
      <w:pgMar w:top="2098" w:right="1531" w:bottom="1984"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146750"/>
    <w:rsid w:val="03367755"/>
    <w:rsid w:val="0B1C2294"/>
    <w:rsid w:val="23B1063E"/>
    <w:rsid w:val="25E27C31"/>
    <w:rsid w:val="27100B44"/>
    <w:rsid w:val="2B146750"/>
    <w:rsid w:val="34F82002"/>
    <w:rsid w:val="38B10A53"/>
    <w:rsid w:val="3A6D30B9"/>
    <w:rsid w:val="3B0357CB"/>
    <w:rsid w:val="3D5375EF"/>
    <w:rsid w:val="468C6F3E"/>
    <w:rsid w:val="5B2733A1"/>
    <w:rsid w:val="5B6EA595"/>
    <w:rsid w:val="629B6D98"/>
    <w:rsid w:val="63E3141D"/>
    <w:rsid w:val="6804655B"/>
    <w:rsid w:val="734343DB"/>
    <w:rsid w:val="7D935F5F"/>
    <w:rsid w:val="7FCC39AA"/>
    <w:rsid w:val="9FFB407C"/>
    <w:rsid w:val="FDFEA0DA"/>
    <w:rsid w:val="FEEEAD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rPr>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3027</Words>
  <Characters>3126</Characters>
  <Lines>0</Lines>
  <Paragraphs>0</Paragraphs>
  <TotalTime>2</TotalTime>
  <ScaleCrop>false</ScaleCrop>
  <LinksUpToDate>false</LinksUpToDate>
  <CharactersWithSpaces>3136</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2026-01-06T16:59:00Z</dcterms:created>
  <dc:creator>木木青争</dc:creator>
  <cp:lastModifiedBy>lyadmin</cp:lastModifiedBy>
  <cp:lastPrinted>2026-02-27T17:11:17Z</cp:lastPrinted>
  <dcterms:modified xsi:type="dcterms:W3CDTF">2026-02-27T17:12:27Z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374281EADD3B4194BB0E2EBB8E69D5C6_13</vt:lpwstr>
  </property>
  <property fmtid="{D5CDD505-2E9C-101B-9397-08002B2CF9AE}" pid="4" name="KSOTemplateDocerSaveRecord">
    <vt:lpwstr>eyJoZGlkIjoiNDAxZTE0ZWI1NTNkMmNkMzU2OTk3OWJjMWRlZGEwMTciLCJ1c2VySWQiOiI0MDg4NTM4NTYifQ==</vt:lpwstr>
  </property>
</Properties>
</file>