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C863E0">
      <w:pPr>
        <w:widowControl w:val="0"/>
        <w:wordWrap/>
        <w:adjustRightInd/>
        <w:snapToGrid/>
        <w:spacing w:line="560" w:lineRule="exact"/>
        <w:ind w:firstLine="883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</w:p>
    <w:p w14:paraId="61EFE63E">
      <w:pPr>
        <w:widowControl w:val="0"/>
        <w:wordWrap/>
        <w:adjustRightInd/>
        <w:snapToGrid/>
        <w:spacing w:line="560" w:lineRule="exact"/>
        <w:ind w:firstLine="883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</w:p>
    <w:p w14:paraId="720339ED">
      <w:pPr>
        <w:widowControl/>
        <w:adjustRightInd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2A1F675C">
      <w:pPr>
        <w:widowControl w:val="0"/>
        <w:wordWrap/>
        <w:adjustRightInd/>
        <w:snapToGrid/>
        <w:spacing w:line="560" w:lineRule="exact"/>
        <w:ind w:firstLine="720" w:firstLineChars="200"/>
        <w:jc w:val="center"/>
        <w:textAlignment w:val="auto"/>
        <w:rPr>
          <w:rFonts w:hint="default" w:ascii="Times New Roman" w:hAnsi="Times New Roman" w:eastAsia="仿宋_GB2312" w:cs="Times New Roman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36"/>
          <w:szCs w:val="36"/>
          <w:lang w:val="en-US" w:eastAsia="zh-CN"/>
        </w:rPr>
        <w:t>坎政〔202</w:t>
      </w:r>
      <w:r>
        <w:rPr>
          <w:rFonts w:hint="eastAsia" w:ascii="Times New Roman" w:hAnsi="Times New Roman" w:eastAsia="仿宋_GB2312" w:cs="Times New Roman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6"/>
          <w:szCs w:val="36"/>
          <w:lang w:val="en-US" w:eastAsia="zh-CN"/>
        </w:rPr>
        <w:t>〕</w:t>
      </w:r>
      <w:r>
        <w:rPr>
          <w:rFonts w:hint="eastAsia" w:ascii="Times New Roman" w:hAnsi="Times New Roman" w:eastAsia="仿宋_GB2312" w:cs="Times New Roman"/>
          <w:sz w:val="36"/>
          <w:szCs w:val="36"/>
          <w:lang w:val="en-US" w:eastAsia="zh-CN"/>
        </w:rPr>
        <w:t>3号</w:t>
      </w:r>
    </w:p>
    <w:p w14:paraId="2BEDDB79">
      <w:pPr>
        <w:pStyle w:val="2"/>
        <w:rPr>
          <w:rFonts w:hint="eastAsia"/>
        </w:rPr>
      </w:pPr>
    </w:p>
    <w:p w14:paraId="29713CCD">
      <w:pPr>
        <w:widowControl w:val="0"/>
        <w:wordWrap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坎市镇人民政府关于进一步做好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年早稻和春季农业生产工作的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通知</w:t>
      </w:r>
    </w:p>
    <w:p w14:paraId="75E7F3B1">
      <w:pPr>
        <w:widowControl w:val="0"/>
        <w:wordWrap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68791F7D">
      <w:pPr>
        <w:widowControl w:val="0"/>
        <w:wordWrap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各村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（居）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委会，镇直有关单位：</w:t>
      </w:r>
    </w:p>
    <w:p w14:paraId="3E69F2CF">
      <w:pPr>
        <w:widowControl/>
        <w:adjustRightInd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早稻生产是保障全年粮食安全的关键抓手，直接关系到粮食稳定供给、农民增收和农业高质量发展。为深入贯彻落实中央关于“三农”工作的决策部署及省、市、区工作要求，推动春季农业生产开好局、起好步，确保完成全年早稻及春季农业生产目标任务。根据中共龙岩市永定区委农村工作领导小组办公室《关于做好2026年早稻和春季农业生产的指导意见》（永委农办〔2026〕3号）文件精神，现结合我镇实际提出2026年早稻生产和春季农业生产工作意见有关事项通知如下：</w:t>
      </w:r>
    </w:p>
    <w:p w14:paraId="585FC104"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一、强化政治责任、保障粮食安全</w:t>
      </w:r>
    </w:p>
    <w:p w14:paraId="4ADC1E51">
      <w:pPr>
        <w:widowControl w:val="0"/>
        <w:wordWrap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扛稳粮食安全的政治责任，按照粮食安全党政同责要求，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稳定粮食播种面积和产量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确保完成2026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上级下达的粮油生产底线目标任务。</w:t>
      </w:r>
    </w:p>
    <w:p w14:paraId="1B0F2903">
      <w:pPr>
        <w:pStyle w:val="3"/>
        <w:widowControl w:val="0"/>
        <w:wordWrap/>
        <w:adjustRightInd/>
        <w:snapToGrid/>
        <w:spacing w:line="560" w:lineRule="exact"/>
        <w:ind w:right="34" w:firstLine="607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pacing w:val="-9"/>
          <w:sz w:val="32"/>
          <w:szCs w:val="32"/>
        </w:rPr>
        <w:t>1.</w:t>
      </w:r>
      <w:r>
        <w:rPr>
          <w:rFonts w:hint="eastAsia" w:ascii="楷体_GB2312" w:hAnsi="楷体_GB2312" w:eastAsia="楷体_GB2312" w:cs="楷体_GB2312"/>
          <w:b/>
          <w:bCs/>
          <w:spacing w:val="-9"/>
          <w:sz w:val="32"/>
          <w:szCs w:val="32"/>
          <w:lang w:eastAsia="zh-CN"/>
        </w:rPr>
        <w:t>加强早稻和春粮种植</w:t>
      </w:r>
      <w:r>
        <w:rPr>
          <w:rFonts w:hint="eastAsia" w:ascii="楷体_GB2312" w:hAnsi="楷体_GB2312" w:eastAsia="楷体_GB2312" w:cs="楷体_GB2312"/>
          <w:b/>
          <w:bCs/>
          <w:spacing w:val="-9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2026年春季农业生产工作的重点工作应突出抓好早稻生产，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各村（居）委会要在2月底前将早稻指导性目标面积及时分解落实到组、到户，确保完成早稻面积1600亩的指导性目标任务(见附件)。对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早稻生产示范片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早安排、早落实，在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3月10日前完成播种，4月10日前完成插秧工作。在做好冬种春收粮油作物田间管理工作的同时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，鼓励和引导农民尽可能增加春播面积，努力扩大早春大豆、优质甘薯、马铃薯、鲜食玉米等旱粮的种植面积，为全年粮食生产打好基础。</w:t>
      </w:r>
    </w:p>
    <w:p w14:paraId="1F5ABF90">
      <w:pPr>
        <w:pStyle w:val="3"/>
        <w:widowControl w:val="0"/>
        <w:adjustRightInd/>
        <w:snapToGrid/>
        <w:spacing w:line="560" w:lineRule="exact"/>
        <w:ind w:right="2" w:firstLine="607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pacing w:val="-9"/>
          <w:sz w:val="32"/>
          <w:szCs w:val="32"/>
        </w:rPr>
        <w:t>2.加强惠农政策宣传。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要加大宣传力度，将中央、省、市、区一系列惠农扶粮政策宣传到村、组，做到家喻户晓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充分调动农民种粮积极性，稳定粮食生产面积。</w:t>
      </w:r>
    </w:p>
    <w:p w14:paraId="48BEFA92">
      <w:pPr>
        <w:widowControl w:val="0"/>
        <w:wordWrap/>
        <w:adjustRightInd/>
        <w:snapToGrid w:val="0"/>
        <w:spacing w:line="560" w:lineRule="exact"/>
        <w:ind w:firstLine="607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pacing w:val="-9"/>
          <w:kern w:val="2"/>
          <w:sz w:val="32"/>
          <w:szCs w:val="32"/>
          <w:lang w:val="en-US" w:eastAsia="en-US" w:bidi="ar-SA"/>
        </w:rPr>
        <w:t>3.</w:t>
      </w:r>
      <w:r>
        <w:rPr>
          <w:rFonts w:hint="eastAsia" w:ascii="楷体_GB2312" w:hAnsi="楷体_GB2312" w:eastAsia="楷体_GB2312" w:cs="楷体_GB2312"/>
          <w:b/>
          <w:bCs/>
          <w:spacing w:val="-9"/>
          <w:kern w:val="2"/>
          <w:sz w:val="32"/>
          <w:szCs w:val="32"/>
          <w:lang w:val="en-US" w:eastAsia="zh-CN" w:bidi="ar-SA"/>
        </w:rPr>
        <w:t>加强</w:t>
      </w:r>
      <w:r>
        <w:rPr>
          <w:rFonts w:hint="eastAsia" w:ascii="楷体_GB2312" w:hAnsi="楷体_GB2312" w:eastAsia="楷体_GB2312" w:cs="楷体_GB2312"/>
          <w:b/>
          <w:bCs/>
          <w:spacing w:val="-9"/>
          <w:kern w:val="2"/>
          <w:sz w:val="32"/>
          <w:szCs w:val="32"/>
          <w:lang w:val="en-US" w:eastAsia="en-US" w:bidi="ar-SA"/>
        </w:rPr>
        <w:t>关键技术落实。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落实好“藏粮于技”战略，以粮食绿色高质高效为目标，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sz w:val="32"/>
          <w:szCs w:val="32"/>
        </w:rPr>
        <w:t>良种良法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sz w:val="32"/>
          <w:szCs w:val="32"/>
          <w:lang w:val="en-US" w:eastAsia="zh-CN"/>
        </w:rPr>
        <w:t>良机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sz w:val="32"/>
          <w:szCs w:val="32"/>
        </w:rPr>
        <w:t>配套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实现主导品种、主推技术和主力机型的“三主”融合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sz w:val="32"/>
          <w:szCs w:val="32"/>
        </w:rPr>
        <w:t>落实好粮食单产提升。</w:t>
      </w:r>
      <w:r>
        <w:rPr>
          <w:rFonts w:hint="eastAsia" w:ascii="仿宋_GB2312" w:hAnsi="仿宋_GB2312" w:eastAsia="仿宋_GB2312" w:cs="仿宋_GB2312"/>
          <w:b w:val="0"/>
          <w:bCs w:val="0"/>
          <w:spacing w:val="2"/>
          <w:sz w:val="32"/>
          <w:szCs w:val="32"/>
        </w:rPr>
        <w:t>促进平衡增产，提高农民</w:t>
      </w:r>
      <w:r>
        <w:rPr>
          <w:rFonts w:hint="eastAsia" w:ascii="仿宋_GB2312" w:hAnsi="仿宋_GB2312" w:eastAsia="仿宋_GB2312" w:cs="仿宋_GB2312"/>
          <w:b w:val="0"/>
          <w:bCs w:val="0"/>
          <w:spacing w:val="-9"/>
          <w:sz w:val="32"/>
          <w:szCs w:val="32"/>
        </w:rPr>
        <w:t>科学种粮水平。</w:t>
      </w:r>
      <w:r>
        <w:rPr>
          <w:rFonts w:hint="eastAsia" w:ascii="仿宋_GB2312" w:hAnsi="仿宋_GB2312" w:eastAsia="仿宋_GB2312" w:cs="仿宋_GB2312"/>
          <w:b w:val="0"/>
          <w:bCs w:val="0"/>
          <w:spacing w:val="-3"/>
          <w:sz w:val="32"/>
          <w:szCs w:val="32"/>
        </w:rPr>
        <w:t>着力推进水稻集中育秧工作</w:t>
      </w:r>
      <w:r>
        <w:rPr>
          <w:rFonts w:hint="eastAsia" w:ascii="仿宋_GB2312" w:hAnsi="仿宋_GB2312" w:eastAsia="仿宋_GB2312" w:cs="仿宋_GB2312"/>
          <w:b w:val="0"/>
          <w:bCs w:val="0"/>
          <w:spacing w:val="-2"/>
          <w:sz w:val="32"/>
          <w:szCs w:val="32"/>
        </w:rPr>
        <w:t>,减少育秧成本，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减轻气候影响，</w:t>
      </w:r>
      <w:r>
        <w:rPr>
          <w:rFonts w:hint="eastAsia" w:ascii="仿宋_GB2312" w:hAnsi="仿宋_GB2312" w:eastAsia="仿宋_GB2312" w:cs="仿宋_GB2312"/>
          <w:b w:val="0"/>
          <w:bCs w:val="0"/>
          <w:spacing w:val="-2"/>
          <w:sz w:val="32"/>
          <w:szCs w:val="32"/>
        </w:rPr>
        <w:t>提高秧苗素质</w:t>
      </w:r>
      <w:r>
        <w:rPr>
          <w:rFonts w:hint="eastAsia" w:ascii="仿宋_GB2312" w:hAnsi="仿宋_GB2312" w:eastAsia="仿宋_GB2312" w:cs="仿宋_GB2312"/>
          <w:b w:val="0"/>
          <w:bCs w:val="0"/>
          <w:spacing w:val="-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sz w:val="32"/>
          <w:szCs w:val="32"/>
        </w:rPr>
        <w:t>抓好病虫害绿色防控工作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大力推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广病虫害统防统治，努力提高病虫害防治专业化、组织化程度，扩大病虫害专业化防治面积及范围，提高病虫害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绿色防控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效果。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支持新型经营主体和植保专业服务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组织开展病虫害统防统治社会化服务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。</w:t>
      </w:r>
    </w:p>
    <w:p w14:paraId="1F4F92E3">
      <w:pPr>
        <w:widowControl w:val="0"/>
        <w:adjustRightInd/>
        <w:snapToGrid/>
        <w:spacing w:line="560" w:lineRule="exact"/>
        <w:ind w:firstLine="607" w:firstLineChars="200"/>
        <w:jc w:val="both"/>
        <w:textAlignment w:val="auto"/>
        <w:rPr>
          <w:rFonts w:hint="eastAsia" w:ascii="仿宋_GB2312" w:hAnsi="仿宋_GB2312" w:eastAsia="仿宋_GB2312" w:cs="仿宋_GB2312"/>
          <w:spacing w:val="-8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pacing w:val="-9"/>
          <w:kern w:val="2"/>
          <w:sz w:val="32"/>
          <w:szCs w:val="32"/>
          <w:lang w:val="en-US" w:eastAsia="en-US" w:bidi="ar-SA"/>
        </w:rPr>
        <w:t>4.</w:t>
      </w:r>
      <w:r>
        <w:rPr>
          <w:rFonts w:hint="eastAsia" w:ascii="楷体_GB2312" w:hAnsi="楷体_GB2312" w:eastAsia="楷体_GB2312" w:cs="楷体_GB2312"/>
          <w:b/>
          <w:bCs/>
          <w:spacing w:val="-9"/>
          <w:kern w:val="2"/>
          <w:sz w:val="32"/>
          <w:szCs w:val="32"/>
          <w:lang w:val="en-US" w:eastAsia="zh-CN" w:bidi="ar-SA"/>
        </w:rPr>
        <w:t>加强</w:t>
      </w:r>
      <w:r>
        <w:rPr>
          <w:rFonts w:hint="eastAsia" w:ascii="楷体_GB2312" w:hAnsi="楷体_GB2312" w:eastAsia="楷体_GB2312" w:cs="楷体_GB2312"/>
          <w:b/>
          <w:bCs/>
          <w:spacing w:val="-9"/>
          <w:kern w:val="2"/>
          <w:sz w:val="32"/>
          <w:szCs w:val="32"/>
          <w:lang w:val="en-US" w:eastAsia="en-US" w:bidi="ar-SA"/>
        </w:rPr>
        <w:t>春耕备耕工作。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sz w:val="32"/>
          <w:szCs w:val="32"/>
        </w:rPr>
        <w:t>抓好技术指导服务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各村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  <w:lang w:val="en-US" w:eastAsia="zh-CN"/>
        </w:rPr>
        <w:t>居）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委会、各相关部门要各司其职、各负其责，把春耕生产作为当前农业农村工作的中心任务，迅速掀起春耕备耕工作热潮。要组织技术人员在查苗情、查病虫情的基础上，制定有针对性的春季田管技术方案，指导农民利用晴好天气及时因时、因地、因苗落实好农作物的田管措施，确保蔬菜等重要农产品的供给，努力争取春收作物有好的收成，为全年农业增产增收打下坚实的基础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要组织精干的农业科技队伍深入农村，深入田间地头指导农民科学做好春耕春管工作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引导农民合理安排好早稻播种期，适时播种，培育足量壮苗，为夏粮丰收打好基础。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sz w:val="32"/>
          <w:szCs w:val="32"/>
        </w:rPr>
        <w:t>抓好集中育秧服务。要千方百计指导农民把好育秧关，充分发挥水稻工厂化机插育秧示范点的作用，大力推广机插暗化育苗和大棚薄膜集中育秧，把早稻集中育秧作为春耕备耕的一项重点工作来抓。抓好农机作业服务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及时做好农机具检修、维护、调度工作，组织农机下田，服务春耕生产，加快春耕生产进度。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  <w:lang w:val="en-US" w:eastAsia="zh-CN"/>
        </w:rPr>
        <w:t>在建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田间工程要加快施工进度，完善水利设施,确保农田灌溉需要。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  <w:lang w:eastAsia="zh-CN"/>
        </w:rPr>
        <w:t>组织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好种苗、化肥、农药市场调剂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  <w:lang w:eastAsia="zh-CN"/>
        </w:rPr>
        <w:t>工作，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要做好种子、肥料、农药、农膜等农用物资准备，加强农资监管，保证农资供应，确保各项农资货源足、质量优、价格稳。</w:t>
      </w:r>
    </w:p>
    <w:p w14:paraId="28ACEF2A">
      <w:pPr>
        <w:pStyle w:val="2"/>
        <w:ind w:left="0" w:leftChars="0"/>
        <w:jc w:val="distribute"/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pacing w:val="-9"/>
          <w:kern w:val="2"/>
          <w:sz w:val="32"/>
          <w:szCs w:val="32"/>
          <w:lang w:val="en-US" w:eastAsia="zh-CN" w:bidi="ar-SA"/>
        </w:rPr>
        <w:t xml:space="preserve">     5</w:t>
      </w:r>
      <w:r>
        <w:rPr>
          <w:rFonts w:hint="eastAsia" w:ascii="楷体_GB2312" w:hAnsi="楷体_GB2312" w:eastAsia="楷体_GB2312" w:cs="楷体_GB2312"/>
          <w:b/>
          <w:bCs/>
          <w:spacing w:val="-9"/>
          <w:kern w:val="2"/>
          <w:sz w:val="32"/>
          <w:szCs w:val="32"/>
          <w:lang w:val="en-US" w:eastAsia="en-US" w:bidi="ar-SA"/>
        </w:rPr>
        <w:t>.</w:t>
      </w:r>
      <w:r>
        <w:rPr>
          <w:rFonts w:hint="eastAsia" w:ascii="楷体_GB2312" w:hAnsi="楷体_GB2312" w:eastAsia="楷体_GB2312" w:cs="楷体_GB2312"/>
          <w:b/>
          <w:bCs/>
          <w:spacing w:val="-9"/>
          <w:kern w:val="2"/>
          <w:sz w:val="32"/>
          <w:szCs w:val="32"/>
          <w:lang w:val="en-US" w:eastAsia="zh-CN" w:bidi="ar-SA"/>
        </w:rPr>
        <w:t>加强撂荒地治理利用</w:t>
      </w:r>
      <w:r>
        <w:rPr>
          <w:rFonts w:hint="eastAsia" w:ascii="楷体_GB2312" w:hAnsi="楷体_GB2312" w:eastAsia="楷体_GB2312" w:cs="楷体_GB2312"/>
          <w:b/>
          <w:bCs/>
          <w:spacing w:val="-9"/>
          <w:kern w:val="2"/>
          <w:sz w:val="32"/>
          <w:szCs w:val="32"/>
          <w:lang w:val="en-US" w:eastAsia="en-US" w:bidi="ar-SA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en-US" w:bidi="ar-SA"/>
        </w:rPr>
        <w:t>总结近年来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zh-CN" w:bidi="ar-SA"/>
        </w:rPr>
        <w:t>撂荒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en-US" w:bidi="ar-SA"/>
        </w:rPr>
        <w:t>治理利用工作的经验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en-US" w:bidi="ar-SA"/>
        </w:rPr>
        <w:t>巩固取得的成果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en-US" w:bidi="ar-SA"/>
        </w:rPr>
        <w:t>进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zh-CN" w:bidi="ar-SA"/>
        </w:rPr>
        <w:t>一步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en-US" w:bidi="ar-SA"/>
        </w:rPr>
        <w:t>完善基础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zh-CN" w:bidi="ar-SA"/>
        </w:rPr>
        <w:t>设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en-US" w:bidi="ar-SA"/>
        </w:rPr>
        <w:t>施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en-US" w:bidi="ar-SA"/>
        </w:rPr>
        <w:t>加大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zh-CN" w:bidi="ar-SA"/>
        </w:rPr>
        <w:t>宣传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en-US" w:bidi="ar-SA"/>
        </w:rPr>
        <w:t>力度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en-US" w:bidi="ar-SA"/>
        </w:rPr>
        <w:t>引导经营主体及种植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zh-CN" w:bidi="ar-SA"/>
        </w:rPr>
        <w:t>户充份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en-US" w:bidi="ar-SA"/>
        </w:rPr>
        <w:t>利用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zh-CN" w:bidi="ar-SA"/>
        </w:rPr>
        <w:t>春耕生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en-US" w:bidi="ar-SA"/>
        </w:rPr>
        <w:t>产的有利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zh-CN" w:bidi="ar-SA"/>
        </w:rPr>
        <w:t>时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en-US" w:bidi="ar-SA"/>
        </w:rPr>
        <w:t>机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en-US" w:bidi="ar-SA"/>
        </w:rPr>
        <w:t>对已完成治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zh-CN" w:bidi="ar-SA"/>
        </w:rPr>
        <w:t>理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en-US" w:bidi="ar-SA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zh-CN" w:bidi="ar-SA"/>
        </w:rPr>
        <w:t>撂荒地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en-US" w:bidi="ar-SA"/>
        </w:rPr>
        <w:t>继续种植粮油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zh-CN" w:bidi="ar-SA"/>
        </w:rPr>
        <w:t>作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en-US" w:bidi="ar-SA"/>
        </w:rPr>
        <w:t>物或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zh-CN" w:bidi="ar-SA"/>
        </w:rPr>
        <w:t>一年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en-US" w:bidi="ar-SA"/>
        </w:rPr>
        <w:t>生浅根系经济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zh-CN" w:bidi="ar-SA"/>
        </w:rPr>
        <w:t>作物，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en-US" w:bidi="ar-SA"/>
        </w:rPr>
        <w:t>同时对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zh-CN" w:bidi="ar-SA"/>
        </w:rPr>
        <w:t>尚未治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en-US" w:bidi="ar-SA"/>
        </w:rPr>
        <w:t>理的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zh-CN" w:bidi="ar-SA"/>
        </w:rPr>
        <w:t>撂荒地，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en-US" w:bidi="ar-SA"/>
        </w:rPr>
        <w:t>因地制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zh-CN" w:bidi="ar-SA"/>
        </w:rPr>
        <w:t>宜，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en-US" w:bidi="ar-SA"/>
        </w:rPr>
        <w:t>持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zh-CN" w:bidi="ar-SA"/>
        </w:rPr>
        <w:t>续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en-US" w:bidi="ar-SA"/>
        </w:rPr>
        <w:t>稳妥推进治理利用工作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kern w:val="2"/>
          <w:sz w:val="32"/>
          <w:szCs w:val="32"/>
          <w:lang w:val="en-US" w:eastAsia="zh-CN" w:bidi="ar-SA"/>
        </w:rPr>
        <w:t>。</w:t>
      </w:r>
    </w:p>
    <w:p w14:paraId="1DE7DEC7">
      <w:pPr>
        <w:widowControl w:val="0"/>
        <w:wordWrap/>
        <w:adjustRightInd/>
        <w:snapToGrid/>
        <w:spacing w:line="560" w:lineRule="exact"/>
        <w:ind w:firstLine="604" w:firstLineChars="200"/>
        <w:jc w:val="both"/>
        <w:textAlignment w:val="auto"/>
        <w:outlineLvl w:val="1"/>
        <w:rPr>
          <w:rFonts w:ascii="黑体" w:hAnsi="黑体" w:eastAsia="黑体" w:cs="黑体"/>
          <w:b w:val="0"/>
          <w:bCs w:val="0"/>
          <w:sz w:val="32"/>
          <w:szCs w:val="32"/>
        </w:rPr>
      </w:pPr>
      <w:r>
        <w:rPr>
          <w:rFonts w:ascii="黑体" w:hAnsi="黑体" w:eastAsia="黑体" w:cs="黑体"/>
          <w:b w:val="0"/>
          <w:bCs w:val="0"/>
          <w:spacing w:val="-9"/>
          <w:sz w:val="32"/>
          <w:szCs w:val="32"/>
        </w:rPr>
        <w:t>二、</w:t>
      </w:r>
      <w:r>
        <w:rPr>
          <w:rFonts w:hint="eastAsia" w:ascii="黑体" w:hAnsi="黑体" w:eastAsia="黑体" w:cs="黑体"/>
          <w:b w:val="0"/>
          <w:bCs w:val="0"/>
          <w:spacing w:val="-9"/>
          <w:sz w:val="32"/>
          <w:szCs w:val="32"/>
          <w:lang w:eastAsia="zh-CN"/>
        </w:rPr>
        <w:t>强化</w:t>
      </w:r>
      <w:r>
        <w:rPr>
          <w:rFonts w:ascii="黑体" w:hAnsi="黑体" w:eastAsia="黑体" w:cs="黑体"/>
          <w:b w:val="0"/>
          <w:bCs w:val="0"/>
          <w:spacing w:val="-9"/>
          <w:sz w:val="32"/>
          <w:szCs w:val="32"/>
        </w:rPr>
        <w:t>“菜篮子”</w:t>
      </w:r>
      <w:r>
        <w:rPr>
          <w:rFonts w:hint="eastAsia" w:ascii="黑体" w:hAnsi="黑体" w:eastAsia="黑体" w:cs="黑体"/>
          <w:b w:val="0"/>
          <w:bCs w:val="0"/>
          <w:spacing w:val="-9"/>
          <w:sz w:val="32"/>
          <w:szCs w:val="32"/>
          <w:lang w:eastAsia="zh-CN"/>
        </w:rPr>
        <w:t>生产、提升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稳产</w:t>
      </w:r>
      <w:r>
        <w:rPr>
          <w:rFonts w:ascii="黑体" w:hAnsi="黑体" w:eastAsia="黑体" w:cs="黑体"/>
          <w:b w:val="0"/>
          <w:bCs w:val="0"/>
          <w:spacing w:val="-9"/>
          <w:sz w:val="32"/>
          <w:szCs w:val="32"/>
        </w:rPr>
        <w:t>保供水平</w:t>
      </w:r>
    </w:p>
    <w:p w14:paraId="48A693FF">
      <w:pPr>
        <w:wordWrap/>
        <w:autoSpaceDN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把“菜篮子”产品生产、保障供给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作</w:t>
      </w:r>
      <w:r>
        <w:rPr>
          <w:rFonts w:hint="eastAsia" w:ascii="仿宋_GB2312" w:hAnsi="仿宋_GB2312" w:eastAsia="仿宋_GB2312" w:cs="仿宋_GB2312"/>
          <w:sz w:val="32"/>
          <w:szCs w:val="32"/>
        </w:rPr>
        <w:t>为当前农业农村工作的大事、要事来抓，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做好稳产保供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加强宣传，动员菜农扩大叶菜类蔬菜播种面积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做好</w:t>
      </w:r>
      <w:r>
        <w:rPr>
          <w:rFonts w:hint="eastAsia" w:ascii="仿宋_GB2312" w:hAnsi="仿宋_GB2312" w:eastAsia="仿宋_GB2312" w:cs="仿宋_GB2312"/>
          <w:sz w:val="32"/>
          <w:szCs w:val="32"/>
        </w:rPr>
        <w:t>生产调度，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避免</w:t>
      </w:r>
      <w:r>
        <w:rPr>
          <w:rFonts w:hint="eastAsia" w:ascii="仿宋_GB2312" w:hAnsi="仿宋_GB2312" w:eastAsia="仿宋_GB2312" w:cs="仿宋_GB2312"/>
          <w:sz w:val="32"/>
          <w:szCs w:val="32"/>
        </w:rPr>
        <w:t>4-5月份部分产品特别是叶菜出现断档。加强现有在田蔬菜管理，提高蔬菜产量和品质，充分利用现有设施大棚，大力发展茄果类、瓜类等优势蔬菜生产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，确保我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“菜篮子”稳产保供。</w:t>
      </w:r>
    </w:p>
    <w:p w14:paraId="0CDBD3A3">
      <w:pPr>
        <w:widowControl w:val="0"/>
        <w:adjustRightInd/>
        <w:snapToGrid/>
        <w:spacing w:line="560" w:lineRule="exact"/>
        <w:ind w:firstLine="60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10"/>
          <w:sz w:val="32"/>
          <w:szCs w:val="32"/>
          <w:lang w:val="en-US" w:eastAsia="zh-CN"/>
        </w:rPr>
        <w:t xml:space="preserve"> </w:t>
      </w:r>
      <w:r>
        <w:rPr>
          <w:rFonts w:ascii="黑体" w:hAnsi="黑体" w:eastAsia="黑体" w:cs="黑体"/>
          <w:b w:val="0"/>
          <w:bCs w:val="0"/>
          <w:spacing w:val="-10"/>
          <w:sz w:val="32"/>
          <w:szCs w:val="32"/>
        </w:rPr>
        <w:t>三、强化质量监管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、保障农产品质量安全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 </w:t>
      </w:r>
    </w:p>
    <w:p w14:paraId="66669060">
      <w:pPr>
        <w:widowControl w:val="0"/>
        <w:adjustRightInd/>
        <w:snapToGrid/>
        <w:spacing w:line="560" w:lineRule="exact"/>
        <w:ind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加强农业生产</w:t>
      </w:r>
      <w:r>
        <w:rPr>
          <w:rFonts w:hint="eastAsia" w:ascii="仿宋_GB2312" w:hAnsi="仿宋_GB2312" w:eastAsia="仿宋_GB2312" w:cs="仿宋_GB2312"/>
          <w:sz w:val="32"/>
          <w:szCs w:val="32"/>
        </w:rPr>
        <w:t>投入品使用监管，推进农药追溯体系建设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严格实施限制使用农药定点经营，加强农药使用安全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宣传指导</w:t>
      </w:r>
      <w:r>
        <w:rPr>
          <w:rFonts w:hint="eastAsia" w:ascii="仿宋_GB2312" w:hAnsi="仿宋_GB2312" w:eastAsia="仿宋_GB2312" w:cs="仿宋_GB2312"/>
          <w:sz w:val="32"/>
          <w:szCs w:val="32"/>
        </w:rPr>
        <w:t>，指导农民科学用药，严格落实按标签标注用药和安全间隔期制度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；全面落实农产品质量安全承诺达标合格证制度，围绕重点问题品种，加强禁限（停）用药物、常规药物、保鲜剂、防腐剂、添加剂和违法添加非食用物质的管控，</w:t>
      </w:r>
      <w:r>
        <w:rPr>
          <w:rFonts w:hint="eastAsia" w:ascii="仿宋_GB2312" w:hAnsi="仿宋_GB2312" w:eastAsia="仿宋_GB2312" w:cs="仿宋_GB2312"/>
          <w:sz w:val="32"/>
          <w:szCs w:val="32"/>
        </w:rPr>
        <w:t>确保农产品质量安全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AAAD6FC">
      <w:pPr>
        <w:wordWrap/>
        <w:adjustRightIn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四、强化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农田基础设施建设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、保障生产能力</w:t>
      </w:r>
    </w:p>
    <w:p w14:paraId="63B7B0C8">
      <w:pPr>
        <w:widowControl w:val="0"/>
        <w:wordWrap/>
        <w:autoSpaceDN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做好冬春修农田水利建设工作，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切实</w:t>
      </w:r>
      <w:r>
        <w:rPr>
          <w:rFonts w:hint="eastAsia" w:ascii="仿宋_GB2312" w:hAnsi="仿宋_GB2312" w:eastAsia="仿宋_GB2312" w:cs="仿宋_GB2312"/>
          <w:sz w:val="32"/>
          <w:szCs w:val="32"/>
        </w:rPr>
        <w:t>落实好“藏粮于地”战略，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争取</w:t>
      </w:r>
      <w:r>
        <w:rPr>
          <w:rFonts w:hint="eastAsia" w:ascii="仿宋_GB2312" w:hAnsi="仿宋_GB2312" w:eastAsia="仿宋_GB2312" w:cs="仿宋_GB2312"/>
          <w:sz w:val="32"/>
          <w:szCs w:val="32"/>
        </w:rPr>
        <w:t>高标准农田建设项目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落地我镇</w:t>
      </w:r>
      <w:r>
        <w:rPr>
          <w:rFonts w:hint="eastAsia" w:ascii="仿宋_GB2312" w:hAnsi="仿宋_GB2312" w:eastAsia="仿宋_GB2312" w:cs="仿宋_GB2312"/>
          <w:sz w:val="32"/>
          <w:szCs w:val="32"/>
        </w:rPr>
        <w:t>，不断提高农业基础设施建设水平，完善节水灌溉、道路等设施，建设高产稳产、旱涝保收、节水高效的规范化农田，稳步提高耕地基础地力和产出能力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不断提高土壤肥力。</w:t>
      </w:r>
    </w:p>
    <w:p w14:paraId="2A228028">
      <w:pPr>
        <w:widowControl w:val="0"/>
        <w:wordWrap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五、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强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化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防灾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减灾、降低生产损失</w:t>
      </w:r>
    </w:p>
    <w:p w14:paraId="1F4C4788">
      <w:pPr>
        <w:widowControl w:val="0"/>
        <w:wordWrap/>
        <w:adjustRightInd/>
        <w:snapToGrid w:val="0"/>
        <w:spacing w:beforeAutospacing="0"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树立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防灾减灾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责任意识。建立农业灾害应急预案，落实防灾减灾责任，以防范“春寒”和“倒春寒”为重点，尤其是露天蔬菜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密切关注各类农业灾害的发展动态，果树、茶叶和简易设施蔬菜要加强防范，提升灾害的应变能力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加强灾害预警预报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密切关注降温预警信息，充分利用手机微信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及公众号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、短信、广播、电视等媒体，向广大农民宣传、发布预警信息，增强防范意识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</w:rPr>
        <w:t>切实加强防寒防低温措施的落实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</w:rPr>
        <w:t>指导农民做好秧田、菜园、果树、茶园等防患措施，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  <w:lang w:eastAsia="zh-CN"/>
        </w:rPr>
        <w:t>重点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</w:rPr>
        <w:t>加强秧田防寒，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千方百计减少低温寒流可能造成的烂种烂秧和死苗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甘薯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作物的育苗田块，要做好地膜覆盖，保温防寒，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育好苗、育壮苗。</w:t>
      </w:r>
    </w:p>
    <w:p w14:paraId="6F93073A"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3F72C72C"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附件：2026年早稻生产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/>
        </w:rPr>
        <w:t>指导性目标任务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和早稻生产示范片面积任务安排表</w:t>
      </w:r>
    </w:p>
    <w:p w14:paraId="45CEBCA1">
      <w:pPr>
        <w:widowControl w:val="0"/>
        <w:numPr>
          <w:ilvl w:val="0"/>
          <w:numId w:val="0"/>
        </w:numPr>
        <w:wordWrap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                 </w:t>
      </w:r>
    </w:p>
    <w:p w14:paraId="18CE5180">
      <w:pPr>
        <w:widowControl w:val="0"/>
        <w:numPr>
          <w:ilvl w:val="0"/>
          <w:numId w:val="0"/>
        </w:numPr>
        <w:wordWrap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0EDB3BA7">
      <w:pPr>
        <w:widowControl w:val="0"/>
        <w:numPr>
          <w:ilvl w:val="0"/>
          <w:numId w:val="0"/>
        </w:numPr>
        <w:wordWrap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783FACEB">
      <w:pPr>
        <w:widowControl w:val="0"/>
        <w:numPr>
          <w:ilvl w:val="0"/>
          <w:numId w:val="0"/>
        </w:numPr>
        <w:wordWrap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 </w:t>
      </w:r>
    </w:p>
    <w:p w14:paraId="5254B37B">
      <w:pPr>
        <w:widowControl w:val="0"/>
        <w:numPr>
          <w:ilvl w:val="0"/>
          <w:numId w:val="0"/>
        </w:numPr>
        <w:wordWrap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2F7B6D1D">
      <w:pPr>
        <w:widowControl w:val="0"/>
        <w:numPr>
          <w:ilvl w:val="0"/>
          <w:numId w:val="0"/>
        </w:numPr>
        <w:wordWrap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                   坎市镇人民政府  </w:t>
      </w:r>
    </w:p>
    <w:p w14:paraId="235F9E06"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firstLine="5760" w:firstLineChars="18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2026年2月12日  </w:t>
      </w:r>
    </w:p>
    <w:p w14:paraId="3B2BD5EA"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6D17805A"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302C6858"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5BD5801A"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67F9FEDC"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</w:t>
      </w:r>
    </w:p>
    <w:p w14:paraId="2EF3BE3E"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2026年早稻生产指导性目标任务和早稻生产示范片面积任务安排表</w:t>
      </w:r>
    </w:p>
    <w:tbl>
      <w:tblPr>
        <w:tblStyle w:val="9"/>
        <w:tblW w:w="8290" w:type="dxa"/>
        <w:tblInd w:w="4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"/>
        <w:gridCol w:w="1009"/>
        <w:gridCol w:w="2028"/>
        <w:gridCol w:w="1378"/>
        <w:gridCol w:w="2137"/>
        <w:gridCol w:w="864"/>
      </w:tblGrid>
      <w:tr w14:paraId="7E51C6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874" w:type="dxa"/>
            <w:vAlign w:val="center"/>
          </w:tcPr>
          <w:p w14:paraId="2E321E29">
            <w:pPr>
              <w:pStyle w:val="8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</w:rPr>
              <w:t>序号</w:t>
            </w:r>
          </w:p>
        </w:tc>
        <w:tc>
          <w:tcPr>
            <w:tcW w:w="1009" w:type="dxa"/>
            <w:vAlign w:val="center"/>
          </w:tcPr>
          <w:p w14:paraId="5A097F27">
            <w:pPr>
              <w:pStyle w:val="8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</w:rPr>
              <w:t>村别</w:t>
            </w:r>
          </w:p>
        </w:tc>
        <w:tc>
          <w:tcPr>
            <w:tcW w:w="2028" w:type="dxa"/>
            <w:vAlign w:val="center"/>
          </w:tcPr>
          <w:p w14:paraId="28EA29BA">
            <w:pPr>
              <w:pStyle w:val="8"/>
              <w:adjustRightInd/>
              <w:spacing w:line="560" w:lineRule="exact"/>
              <w:ind w:right="123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</w:rPr>
              <w:t>早稻生产</w:t>
            </w:r>
            <w:r>
              <w:rPr>
                <w:rFonts w:hint="eastAsia" w:ascii="仿宋_GB2312" w:hAnsi="仿宋_GB2312" w:eastAsia="仿宋_GB2312" w:cs="仿宋_GB2312"/>
                <w:spacing w:val="6"/>
                <w:lang w:val="en-US" w:eastAsia="zh-CN"/>
              </w:rPr>
              <w:t>指导性</w:t>
            </w:r>
            <w:r>
              <w:rPr>
                <w:rFonts w:hint="eastAsia" w:ascii="仿宋_GB2312" w:hAnsi="仿宋_GB2312" w:eastAsia="仿宋_GB2312" w:cs="仿宋_GB2312"/>
                <w:spacing w:val="6"/>
              </w:rPr>
              <w:t>目标任务面积(亩)</w:t>
            </w:r>
          </w:p>
        </w:tc>
        <w:tc>
          <w:tcPr>
            <w:tcW w:w="1378" w:type="dxa"/>
            <w:vAlign w:val="center"/>
          </w:tcPr>
          <w:p w14:paraId="0D4BD334">
            <w:pPr>
              <w:pStyle w:val="8"/>
              <w:adjustRightInd/>
              <w:spacing w:line="560" w:lineRule="exact"/>
              <w:ind w:right="194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</w:rPr>
              <w:t>产量</w:t>
            </w:r>
            <w:r>
              <w:rPr>
                <w:rFonts w:hint="eastAsia" w:ascii="仿宋_GB2312" w:hAnsi="仿宋_GB2312" w:eastAsia="仿宋_GB2312" w:cs="仿宋_GB2312"/>
              </w:rPr>
              <w:t xml:space="preserve"> </w:t>
            </w:r>
          </w:p>
          <w:p w14:paraId="54D27EAD">
            <w:pPr>
              <w:pStyle w:val="8"/>
              <w:adjustRightInd/>
              <w:spacing w:line="560" w:lineRule="exact"/>
              <w:ind w:right="194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7"/>
              </w:rPr>
              <w:t>(吨)</w:t>
            </w:r>
          </w:p>
        </w:tc>
        <w:tc>
          <w:tcPr>
            <w:tcW w:w="2137" w:type="dxa"/>
            <w:vAlign w:val="center"/>
          </w:tcPr>
          <w:p w14:paraId="48C987AE">
            <w:pPr>
              <w:pStyle w:val="8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</w:rPr>
              <w:t>早稻生产示范</w:t>
            </w:r>
          </w:p>
          <w:p w14:paraId="2A0013D9">
            <w:pPr>
              <w:pStyle w:val="8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</w:rPr>
              <w:t>片面积(亩)</w:t>
            </w:r>
          </w:p>
        </w:tc>
        <w:tc>
          <w:tcPr>
            <w:tcW w:w="864" w:type="dxa"/>
            <w:vAlign w:val="center"/>
          </w:tcPr>
          <w:p w14:paraId="6B6D0104">
            <w:pPr>
              <w:pStyle w:val="8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</w:rPr>
              <w:t>备注</w:t>
            </w:r>
          </w:p>
        </w:tc>
      </w:tr>
      <w:tr w14:paraId="250393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874" w:type="dxa"/>
            <w:vAlign w:val="center"/>
          </w:tcPr>
          <w:p w14:paraId="5D57C35D">
            <w:pPr>
              <w:pStyle w:val="8"/>
              <w:adjustRightInd/>
              <w:spacing w:line="560" w:lineRule="exact"/>
              <w:ind w:firstLine="254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lang w:val="en-US" w:eastAsia="zh-CN"/>
              </w:rPr>
              <w:t>1</w:t>
            </w:r>
          </w:p>
        </w:tc>
        <w:tc>
          <w:tcPr>
            <w:tcW w:w="1009" w:type="dxa"/>
            <w:vAlign w:val="center"/>
          </w:tcPr>
          <w:p w14:paraId="1AE4D9FC">
            <w:pPr>
              <w:pStyle w:val="8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9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lang w:eastAsia="zh-CN"/>
              </w:rPr>
              <w:t>坎街</w:t>
            </w:r>
          </w:p>
        </w:tc>
        <w:tc>
          <w:tcPr>
            <w:tcW w:w="2028" w:type="dxa"/>
            <w:vAlign w:val="center"/>
          </w:tcPr>
          <w:p w14:paraId="52FB98F3">
            <w:pPr>
              <w:pStyle w:val="8"/>
              <w:adjustRightInd/>
              <w:spacing w:line="560" w:lineRule="exact"/>
              <w:ind w:left="162" w:right="123" w:firstLine="504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lang w:val="en-US" w:eastAsia="zh-CN"/>
              </w:rPr>
              <w:t>975</w:t>
            </w:r>
          </w:p>
        </w:tc>
        <w:tc>
          <w:tcPr>
            <w:tcW w:w="1378" w:type="dxa"/>
            <w:vAlign w:val="center"/>
          </w:tcPr>
          <w:p w14:paraId="6CA5DD9C">
            <w:pPr>
              <w:pStyle w:val="8"/>
              <w:adjustRightInd/>
              <w:spacing w:line="560" w:lineRule="exact"/>
              <w:ind w:right="194" w:firstLine="488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  <w:t>400</w:t>
            </w:r>
          </w:p>
        </w:tc>
        <w:tc>
          <w:tcPr>
            <w:tcW w:w="2137" w:type="dxa"/>
            <w:vAlign w:val="center"/>
          </w:tcPr>
          <w:p w14:paraId="12985A65">
            <w:pPr>
              <w:pStyle w:val="8"/>
              <w:adjustRightInd/>
              <w:spacing w:line="560" w:lineRule="exact"/>
              <w:ind w:firstLine="512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lang w:val="en-US" w:eastAsia="zh-CN"/>
              </w:rPr>
              <w:t>100</w:t>
            </w:r>
          </w:p>
        </w:tc>
        <w:tc>
          <w:tcPr>
            <w:tcW w:w="864" w:type="dxa"/>
            <w:vAlign w:val="center"/>
          </w:tcPr>
          <w:p w14:paraId="60DCB922">
            <w:pPr>
              <w:pStyle w:val="8"/>
              <w:adjustRightInd/>
              <w:spacing w:line="560" w:lineRule="exact"/>
              <w:ind w:left="209" w:firstLine="504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6"/>
              </w:rPr>
            </w:pPr>
          </w:p>
        </w:tc>
      </w:tr>
      <w:tr w14:paraId="6CE851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874" w:type="dxa"/>
            <w:vAlign w:val="center"/>
          </w:tcPr>
          <w:p w14:paraId="190A3561">
            <w:pPr>
              <w:pStyle w:val="8"/>
              <w:adjustRightInd/>
              <w:spacing w:line="560" w:lineRule="exact"/>
              <w:ind w:firstLine="254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lang w:val="en-US" w:eastAsia="zh-CN"/>
              </w:rPr>
              <w:t>2</w:t>
            </w:r>
          </w:p>
        </w:tc>
        <w:tc>
          <w:tcPr>
            <w:tcW w:w="1009" w:type="dxa"/>
            <w:vAlign w:val="center"/>
          </w:tcPr>
          <w:p w14:paraId="4CDE7BFE">
            <w:pPr>
              <w:pStyle w:val="8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9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lang w:eastAsia="zh-CN"/>
              </w:rPr>
              <w:t>秀山</w:t>
            </w:r>
          </w:p>
        </w:tc>
        <w:tc>
          <w:tcPr>
            <w:tcW w:w="2028" w:type="dxa"/>
            <w:vAlign w:val="center"/>
          </w:tcPr>
          <w:p w14:paraId="13485BCB">
            <w:pPr>
              <w:pStyle w:val="8"/>
              <w:adjustRightInd/>
              <w:spacing w:line="560" w:lineRule="exact"/>
              <w:ind w:left="162" w:right="123" w:firstLine="504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lang w:val="en-US" w:eastAsia="zh-CN"/>
              </w:rPr>
              <w:t>95</w:t>
            </w:r>
          </w:p>
        </w:tc>
        <w:tc>
          <w:tcPr>
            <w:tcW w:w="1378" w:type="dxa"/>
            <w:vAlign w:val="center"/>
          </w:tcPr>
          <w:p w14:paraId="310DF832">
            <w:pPr>
              <w:pStyle w:val="8"/>
              <w:adjustRightInd/>
              <w:spacing w:line="560" w:lineRule="exact"/>
              <w:ind w:right="194" w:firstLine="488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  <w:t>38</w:t>
            </w:r>
          </w:p>
        </w:tc>
        <w:tc>
          <w:tcPr>
            <w:tcW w:w="2137" w:type="dxa"/>
            <w:vAlign w:val="center"/>
          </w:tcPr>
          <w:p w14:paraId="0191D686">
            <w:pPr>
              <w:pStyle w:val="8"/>
              <w:adjustRightInd/>
              <w:spacing w:line="560" w:lineRule="exact"/>
              <w:ind w:firstLine="512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lang w:val="en-US" w:eastAsia="zh-CN"/>
              </w:rPr>
              <w:t>0</w:t>
            </w:r>
          </w:p>
        </w:tc>
        <w:tc>
          <w:tcPr>
            <w:tcW w:w="864" w:type="dxa"/>
            <w:vAlign w:val="center"/>
          </w:tcPr>
          <w:p w14:paraId="60D9D2AC">
            <w:pPr>
              <w:pStyle w:val="8"/>
              <w:adjustRightInd/>
              <w:spacing w:line="560" w:lineRule="exact"/>
              <w:ind w:left="209" w:firstLine="504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6"/>
              </w:rPr>
            </w:pPr>
          </w:p>
        </w:tc>
      </w:tr>
      <w:tr w14:paraId="42E2DB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874" w:type="dxa"/>
            <w:vAlign w:val="center"/>
          </w:tcPr>
          <w:p w14:paraId="255168D8">
            <w:pPr>
              <w:pStyle w:val="8"/>
              <w:adjustRightInd/>
              <w:spacing w:line="560" w:lineRule="exact"/>
              <w:ind w:firstLine="254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lang w:val="en-US" w:eastAsia="zh-CN"/>
              </w:rPr>
              <w:t>3</w:t>
            </w:r>
          </w:p>
        </w:tc>
        <w:tc>
          <w:tcPr>
            <w:tcW w:w="1009" w:type="dxa"/>
            <w:vAlign w:val="center"/>
          </w:tcPr>
          <w:p w14:paraId="3CE09B85">
            <w:pPr>
              <w:pStyle w:val="8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9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lang w:eastAsia="zh-CN"/>
              </w:rPr>
              <w:t>文馆</w:t>
            </w:r>
          </w:p>
        </w:tc>
        <w:tc>
          <w:tcPr>
            <w:tcW w:w="2028" w:type="dxa"/>
            <w:vAlign w:val="center"/>
          </w:tcPr>
          <w:p w14:paraId="351C04A6">
            <w:pPr>
              <w:pStyle w:val="8"/>
              <w:adjustRightInd/>
              <w:spacing w:line="560" w:lineRule="exact"/>
              <w:ind w:left="162" w:right="123" w:firstLine="504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lang w:val="en-US" w:eastAsia="zh-CN"/>
              </w:rPr>
              <w:t>70</w:t>
            </w:r>
          </w:p>
        </w:tc>
        <w:tc>
          <w:tcPr>
            <w:tcW w:w="1378" w:type="dxa"/>
            <w:vAlign w:val="center"/>
          </w:tcPr>
          <w:p w14:paraId="1C829201">
            <w:pPr>
              <w:pStyle w:val="8"/>
              <w:adjustRightInd/>
              <w:spacing w:line="560" w:lineRule="exact"/>
              <w:ind w:right="194" w:firstLine="488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  <w:t>29</w:t>
            </w:r>
          </w:p>
        </w:tc>
        <w:tc>
          <w:tcPr>
            <w:tcW w:w="2137" w:type="dxa"/>
            <w:vAlign w:val="center"/>
          </w:tcPr>
          <w:p w14:paraId="428F96C2">
            <w:pPr>
              <w:pStyle w:val="8"/>
              <w:adjustRightInd/>
              <w:spacing w:line="560" w:lineRule="exact"/>
              <w:ind w:firstLine="512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lang w:val="en-US" w:eastAsia="zh-CN"/>
              </w:rPr>
              <w:t>0</w:t>
            </w:r>
          </w:p>
        </w:tc>
        <w:tc>
          <w:tcPr>
            <w:tcW w:w="864" w:type="dxa"/>
            <w:vAlign w:val="center"/>
          </w:tcPr>
          <w:p w14:paraId="024C792A">
            <w:pPr>
              <w:pStyle w:val="8"/>
              <w:adjustRightInd/>
              <w:spacing w:line="560" w:lineRule="exact"/>
              <w:ind w:left="209" w:firstLine="504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6"/>
              </w:rPr>
            </w:pPr>
          </w:p>
        </w:tc>
      </w:tr>
      <w:tr w14:paraId="6A36D0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874" w:type="dxa"/>
            <w:vAlign w:val="center"/>
          </w:tcPr>
          <w:p w14:paraId="1A9D3D7C">
            <w:pPr>
              <w:pStyle w:val="8"/>
              <w:adjustRightInd/>
              <w:spacing w:line="560" w:lineRule="exact"/>
              <w:ind w:firstLine="254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lang w:val="en-US" w:eastAsia="zh-CN"/>
              </w:rPr>
              <w:t>4</w:t>
            </w:r>
          </w:p>
        </w:tc>
        <w:tc>
          <w:tcPr>
            <w:tcW w:w="1009" w:type="dxa"/>
            <w:vAlign w:val="center"/>
          </w:tcPr>
          <w:p w14:paraId="66E573A0">
            <w:pPr>
              <w:pStyle w:val="8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9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lang w:eastAsia="zh-CN"/>
              </w:rPr>
              <w:t>浮山</w:t>
            </w:r>
          </w:p>
        </w:tc>
        <w:tc>
          <w:tcPr>
            <w:tcW w:w="2028" w:type="dxa"/>
            <w:vAlign w:val="center"/>
          </w:tcPr>
          <w:p w14:paraId="66F8F41C">
            <w:pPr>
              <w:pStyle w:val="8"/>
              <w:adjustRightInd/>
              <w:spacing w:line="560" w:lineRule="exact"/>
              <w:ind w:left="162" w:right="123" w:firstLine="504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lang w:val="en-US" w:eastAsia="zh-CN"/>
              </w:rPr>
              <w:t>65</w:t>
            </w:r>
          </w:p>
        </w:tc>
        <w:tc>
          <w:tcPr>
            <w:tcW w:w="1378" w:type="dxa"/>
            <w:vAlign w:val="center"/>
          </w:tcPr>
          <w:p w14:paraId="1B9B693C">
            <w:pPr>
              <w:pStyle w:val="8"/>
              <w:adjustRightInd/>
              <w:spacing w:line="560" w:lineRule="exact"/>
              <w:ind w:right="194" w:firstLine="488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  <w:t>26</w:t>
            </w:r>
          </w:p>
        </w:tc>
        <w:tc>
          <w:tcPr>
            <w:tcW w:w="2137" w:type="dxa"/>
            <w:vAlign w:val="center"/>
          </w:tcPr>
          <w:p w14:paraId="2D2E7BA8">
            <w:pPr>
              <w:pStyle w:val="8"/>
              <w:adjustRightInd/>
              <w:spacing w:line="560" w:lineRule="exact"/>
              <w:ind w:firstLine="512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lang w:val="en-US" w:eastAsia="zh-CN"/>
              </w:rPr>
              <w:t>0</w:t>
            </w:r>
          </w:p>
        </w:tc>
        <w:tc>
          <w:tcPr>
            <w:tcW w:w="864" w:type="dxa"/>
            <w:vAlign w:val="center"/>
          </w:tcPr>
          <w:p w14:paraId="543A0C12">
            <w:pPr>
              <w:pStyle w:val="8"/>
              <w:adjustRightInd/>
              <w:spacing w:line="560" w:lineRule="exact"/>
              <w:ind w:left="209" w:firstLine="504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6"/>
              </w:rPr>
            </w:pPr>
          </w:p>
        </w:tc>
      </w:tr>
      <w:tr w14:paraId="5563BD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874" w:type="dxa"/>
            <w:vAlign w:val="center"/>
          </w:tcPr>
          <w:p w14:paraId="7D8BBA0E">
            <w:pPr>
              <w:pStyle w:val="8"/>
              <w:adjustRightInd/>
              <w:spacing w:line="560" w:lineRule="exact"/>
              <w:ind w:firstLine="254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lang w:val="en-US" w:eastAsia="zh-CN"/>
              </w:rPr>
              <w:t>5</w:t>
            </w:r>
          </w:p>
        </w:tc>
        <w:tc>
          <w:tcPr>
            <w:tcW w:w="1009" w:type="dxa"/>
            <w:vAlign w:val="center"/>
          </w:tcPr>
          <w:p w14:paraId="74FA96B3">
            <w:pPr>
              <w:pStyle w:val="8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9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lang w:eastAsia="zh-CN"/>
              </w:rPr>
              <w:t>新罗</w:t>
            </w:r>
          </w:p>
        </w:tc>
        <w:tc>
          <w:tcPr>
            <w:tcW w:w="2028" w:type="dxa"/>
            <w:vAlign w:val="center"/>
          </w:tcPr>
          <w:p w14:paraId="62AE2463">
            <w:pPr>
              <w:pStyle w:val="8"/>
              <w:adjustRightInd/>
              <w:spacing w:line="560" w:lineRule="exact"/>
              <w:ind w:left="162" w:right="123" w:firstLine="504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lang w:val="en-US" w:eastAsia="zh-CN"/>
              </w:rPr>
              <w:t>130</w:t>
            </w:r>
          </w:p>
        </w:tc>
        <w:tc>
          <w:tcPr>
            <w:tcW w:w="1378" w:type="dxa"/>
            <w:vAlign w:val="center"/>
          </w:tcPr>
          <w:p w14:paraId="06EC676B">
            <w:pPr>
              <w:pStyle w:val="8"/>
              <w:adjustRightInd/>
              <w:spacing w:line="560" w:lineRule="exact"/>
              <w:ind w:right="194" w:firstLine="488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  <w:t>54</w:t>
            </w:r>
          </w:p>
        </w:tc>
        <w:tc>
          <w:tcPr>
            <w:tcW w:w="2137" w:type="dxa"/>
            <w:vAlign w:val="center"/>
          </w:tcPr>
          <w:p w14:paraId="377F5E01">
            <w:pPr>
              <w:pStyle w:val="8"/>
              <w:adjustRightInd/>
              <w:spacing w:line="560" w:lineRule="exact"/>
              <w:ind w:firstLine="512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lang w:val="en-US" w:eastAsia="zh-CN"/>
              </w:rPr>
              <w:t>0</w:t>
            </w:r>
          </w:p>
        </w:tc>
        <w:tc>
          <w:tcPr>
            <w:tcW w:w="864" w:type="dxa"/>
            <w:vAlign w:val="center"/>
          </w:tcPr>
          <w:p w14:paraId="222D315D">
            <w:pPr>
              <w:pStyle w:val="8"/>
              <w:adjustRightInd/>
              <w:spacing w:line="560" w:lineRule="exact"/>
              <w:ind w:left="209" w:firstLine="504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6"/>
              </w:rPr>
            </w:pPr>
          </w:p>
        </w:tc>
      </w:tr>
      <w:tr w14:paraId="1CF66C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874" w:type="dxa"/>
            <w:vAlign w:val="center"/>
          </w:tcPr>
          <w:p w14:paraId="481DAD81">
            <w:pPr>
              <w:pStyle w:val="8"/>
              <w:adjustRightInd/>
              <w:spacing w:line="560" w:lineRule="exact"/>
              <w:ind w:firstLine="254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lang w:val="en-US" w:eastAsia="zh-CN"/>
              </w:rPr>
              <w:t>6</w:t>
            </w:r>
          </w:p>
        </w:tc>
        <w:tc>
          <w:tcPr>
            <w:tcW w:w="1009" w:type="dxa"/>
            <w:vAlign w:val="center"/>
          </w:tcPr>
          <w:p w14:paraId="5BE655BD">
            <w:pPr>
              <w:pStyle w:val="8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9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lang w:eastAsia="zh-CN"/>
              </w:rPr>
              <w:t>洽溪</w:t>
            </w:r>
          </w:p>
        </w:tc>
        <w:tc>
          <w:tcPr>
            <w:tcW w:w="2028" w:type="dxa"/>
            <w:vAlign w:val="center"/>
          </w:tcPr>
          <w:p w14:paraId="184C9408">
            <w:pPr>
              <w:pStyle w:val="8"/>
              <w:adjustRightInd/>
              <w:spacing w:line="560" w:lineRule="exact"/>
              <w:ind w:left="162" w:right="123" w:firstLine="504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lang w:val="en-US" w:eastAsia="zh-CN"/>
              </w:rPr>
              <w:t>90</w:t>
            </w:r>
          </w:p>
        </w:tc>
        <w:tc>
          <w:tcPr>
            <w:tcW w:w="1378" w:type="dxa"/>
            <w:vAlign w:val="center"/>
          </w:tcPr>
          <w:p w14:paraId="6AB1D3C7">
            <w:pPr>
              <w:pStyle w:val="8"/>
              <w:adjustRightInd/>
              <w:spacing w:line="560" w:lineRule="exact"/>
              <w:ind w:right="194" w:firstLine="488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  <w:t>37</w:t>
            </w:r>
          </w:p>
        </w:tc>
        <w:tc>
          <w:tcPr>
            <w:tcW w:w="2137" w:type="dxa"/>
            <w:vAlign w:val="center"/>
          </w:tcPr>
          <w:p w14:paraId="5445D016">
            <w:pPr>
              <w:pStyle w:val="8"/>
              <w:adjustRightInd/>
              <w:spacing w:line="560" w:lineRule="exact"/>
              <w:ind w:firstLine="512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lang w:val="en-US" w:eastAsia="zh-CN"/>
              </w:rPr>
              <w:t>0</w:t>
            </w:r>
          </w:p>
        </w:tc>
        <w:tc>
          <w:tcPr>
            <w:tcW w:w="864" w:type="dxa"/>
            <w:vAlign w:val="center"/>
          </w:tcPr>
          <w:p w14:paraId="315E7D57">
            <w:pPr>
              <w:pStyle w:val="8"/>
              <w:adjustRightInd/>
              <w:spacing w:line="560" w:lineRule="exact"/>
              <w:ind w:left="209" w:firstLine="504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6"/>
              </w:rPr>
            </w:pPr>
          </w:p>
        </w:tc>
      </w:tr>
      <w:tr w14:paraId="0A7E1F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874" w:type="dxa"/>
            <w:vAlign w:val="center"/>
          </w:tcPr>
          <w:p w14:paraId="1F770763">
            <w:pPr>
              <w:pStyle w:val="8"/>
              <w:adjustRightInd/>
              <w:spacing w:line="560" w:lineRule="exact"/>
              <w:ind w:firstLine="254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lang w:val="en-US" w:eastAsia="zh-CN"/>
              </w:rPr>
              <w:t>7</w:t>
            </w:r>
          </w:p>
        </w:tc>
        <w:tc>
          <w:tcPr>
            <w:tcW w:w="1009" w:type="dxa"/>
            <w:vAlign w:val="center"/>
          </w:tcPr>
          <w:p w14:paraId="21CEAF29">
            <w:pPr>
              <w:pStyle w:val="8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9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lang w:eastAsia="zh-CN"/>
              </w:rPr>
              <w:t>清溪</w:t>
            </w:r>
          </w:p>
        </w:tc>
        <w:tc>
          <w:tcPr>
            <w:tcW w:w="2028" w:type="dxa"/>
            <w:vAlign w:val="center"/>
          </w:tcPr>
          <w:p w14:paraId="14C2FE7E">
            <w:pPr>
              <w:pStyle w:val="8"/>
              <w:adjustRightInd/>
              <w:spacing w:line="560" w:lineRule="exact"/>
              <w:ind w:left="162" w:right="123" w:firstLine="504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lang w:val="en-US" w:eastAsia="zh-CN"/>
              </w:rPr>
              <w:t>175</w:t>
            </w:r>
          </w:p>
        </w:tc>
        <w:tc>
          <w:tcPr>
            <w:tcW w:w="1378" w:type="dxa"/>
            <w:vAlign w:val="center"/>
          </w:tcPr>
          <w:p w14:paraId="5AB6302B">
            <w:pPr>
              <w:pStyle w:val="8"/>
              <w:adjustRightInd/>
              <w:spacing w:line="560" w:lineRule="exact"/>
              <w:ind w:right="194" w:firstLine="488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  <w:t>72</w:t>
            </w:r>
          </w:p>
        </w:tc>
        <w:tc>
          <w:tcPr>
            <w:tcW w:w="2137" w:type="dxa"/>
            <w:vAlign w:val="center"/>
          </w:tcPr>
          <w:p w14:paraId="429BDD13">
            <w:pPr>
              <w:pStyle w:val="8"/>
              <w:adjustRightInd/>
              <w:spacing w:line="560" w:lineRule="exact"/>
              <w:ind w:firstLine="512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lang w:val="en-US" w:eastAsia="zh-CN"/>
              </w:rPr>
              <w:t>0</w:t>
            </w:r>
          </w:p>
        </w:tc>
        <w:tc>
          <w:tcPr>
            <w:tcW w:w="864" w:type="dxa"/>
            <w:vAlign w:val="center"/>
          </w:tcPr>
          <w:p w14:paraId="2A6C8BF9">
            <w:pPr>
              <w:pStyle w:val="8"/>
              <w:adjustRightInd/>
              <w:spacing w:line="560" w:lineRule="exact"/>
              <w:ind w:left="209" w:firstLine="504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6"/>
              </w:rPr>
            </w:pPr>
          </w:p>
        </w:tc>
      </w:tr>
      <w:tr w14:paraId="29E155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1883" w:type="dxa"/>
            <w:gridSpan w:val="2"/>
            <w:vAlign w:val="center"/>
          </w:tcPr>
          <w:p w14:paraId="5A7ED812">
            <w:pPr>
              <w:pStyle w:val="8"/>
              <w:adjustRightInd/>
              <w:spacing w:line="560" w:lineRule="exact"/>
              <w:ind w:firstLine="516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9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lang w:eastAsia="zh-CN"/>
              </w:rPr>
              <w:t>合计</w:t>
            </w:r>
          </w:p>
        </w:tc>
        <w:tc>
          <w:tcPr>
            <w:tcW w:w="2028" w:type="dxa"/>
            <w:vAlign w:val="center"/>
          </w:tcPr>
          <w:p w14:paraId="1310182E">
            <w:pPr>
              <w:pStyle w:val="8"/>
              <w:adjustRightInd/>
              <w:spacing w:line="560" w:lineRule="exact"/>
              <w:ind w:left="162" w:right="123" w:firstLine="504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lang w:val="en-US" w:eastAsia="zh-CN"/>
              </w:rPr>
              <w:t>1600</w:t>
            </w:r>
          </w:p>
        </w:tc>
        <w:tc>
          <w:tcPr>
            <w:tcW w:w="1378" w:type="dxa"/>
            <w:vAlign w:val="center"/>
          </w:tcPr>
          <w:p w14:paraId="2805E823">
            <w:pPr>
              <w:pStyle w:val="8"/>
              <w:adjustRightInd/>
              <w:spacing w:line="560" w:lineRule="exact"/>
              <w:ind w:right="194" w:firstLine="488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  <w:t>656</w:t>
            </w:r>
          </w:p>
        </w:tc>
        <w:tc>
          <w:tcPr>
            <w:tcW w:w="2137" w:type="dxa"/>
            <w:vAlign w:val="center"/>
          </w:tcPr>
          <w:p w14:paraId="057E066E">
            <w:pPr>
              <w:pStyle w:val="8"/>
              <w:adjustRightInd/>
              <w:spacing w:line="560" w:lineRule="exact"/>
              <w:ind w:firstLine="512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lang w:val="en-US" w:eastAsia="zh-CN"/>
              </w:rPr>
              <w:t>100</w:t>
            </w:r>
          </w:p>
        </w:tc>
        <w:tc>
          <w:tcPr>
            <w:tcW w:w="864" w:type="dxa"/>
            <w:vAlign w:val="center"/>
          </w:tcPr>
          <w:p w14:paraId="5A69F460">
            <w:pPr>
              <w:pStyle w:val="8"/>
              <w:adjustRightInd/>
              <w:spacing w:line="560" w:lineRule="exact"/>
              <w:ind w:left="209" w:firstLine="504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6"/>
              </w:rPr>
            </w:pPr>
          </w:p>
        </w:tc>
      </w:tr>
    </w:tbl>
    <w:p w14:paraId="27094053"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17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668BE8B-067C-481D-8A07-92B1FF19BDE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281514E-8B88-4063-8CEE-9DC602F5E13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FD86228-7A40-4C59-A9CB-826E2C71EBB8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982D7094-A6F4-409C-AD82-ACFD7087EA98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D1420C87-0FA6-4285-969C-297950E2AF1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380308">
    <w:pPr>
      <w:spacing w:line="177" w:lineRule="auto"/>
      <w:rPr>
        <w:rFonts w:ascii="宋体" w:hAnsi="宋体" w:eastAsia="宋体" w:cs="宋体"/>
        <w:sz w:val="31"/>
        <w:szCs w:val="31"/>
      </w:rPr>
    </w:pPr>
    <w:r>
      <w:rPr>
        <w:rFonts w:ascii="Calibri" w:hAnsi="Calibri" w:eastAsia="宋体" w:cs="黑体"/>
        <w:kern w:val="2"/>
        <w:sz w:val="31"/>
        <w:szCs w:val="24"/>
        <w:lang w:val="en-US" w:eastAsia="zh-CN" w:bidi="ar-SA"/>
      </w:rPr>
      <w:pict>
        <v:rect id="文本框 1" o:spid="_x0000_s4097" o:spt="1" style="position:absolute;left:0pt;margin-top:0pt;height:144pt;width:144pt;mso-position-horizontal:center;mso-position-horizontal-relative:margin;mso-wrap-style:none;z-index:251659264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 w14:paraId="600CC3FC"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rect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Dc4ZjE3ZTQyMTlkZmRiZGZhZWIwYzY5N2JlMTBjNDMifQ=="/>
  </w:docVars>
  <w:rsids>
    <w:rsidRoot w:val="684F7CF2"/>
    <w:rsid w:val="05EA11FA"/>
    <w:rsid w:val="21135CCE"/>
    <w:rsid w:val="24482291"/>
    <w:rsid w:val="25D17B9A"/>
    <w:rsid w:val="2B7B25DE"/>
    <w:rsid w:val="2D090B71"/>
    <w:rsid w:val="2DC70E18"/>
    <w:rsid w:val="3F266AA8"/>
    <w:rsid w:val="3FA54DF8"/>
    <w:rsid w:val="4DC71D12"/>
    <w:rsid w:val="4F8945A3"/>
    <w:rsid w:val="579F4EF6"/>
    <w:rsid w:val="5FE79FC0"/>
    <w:rsid w:val="632A5D8C"/>
    <w:rsid w:val="67EF8CDA"/>
    <w:rsid w:val="684F7CF2"/>
    <w:rsid w:val="6906005F"/>
    <w:rsid w:val="6D0F2A1C"/>
    <w:rsid w:val="7375407B"/>
    <w:rsid w:val="75AD6371"/>
    <w:rsid w:val="BFFDDDDF"/>
    <w:rsid w:val="F2EB3155"/>
    <w:rsid w:val="F7BB08C7"/>
    <w:rsid w:val="F7F711A0"/>
    <w:rsid w:val="FA3E70FA"/>
    <w:rsid w:val="FBF74F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4"/>
      <w:szCs w:val="34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2426</Words>
  <Characters>2493</Characters>
  <Lines>0</Lines>
  <Paragraphs>0</Paragraphs>
  <TotalTime>0</TotalTime>
  <ScaleCrop>false</ScaleCrop>
  <LinksUpToDate>false</LinksUpToDate>
  <CharactersWithSpaces>2584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2024-07-20T16:13:00Z</dcterms:created>
  <dc:creator>Administrator</dc:creator>
  <cp:lastModifiedBy>shi****@*****mail.site</cp:lastModifiedBy>
  <cp:lastPrinted>2026-03-12T15:43:00Z</cp:lastPrinted>
  <dcterms:modified xsi:type="dcterms:W3CDTF">2026-07-02T00:42:17Z</dcterms:modified>
  <dc:title>坎市镇人民政府关于进一步做好2025年早稻生产和春季农业生产的工作意见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0F2D178E7D204FC1B887CC167617F44F_13</vt:lpwstr>
  </property>
  <property fmtid="{D5CDD505-2E9C-101B-9397-08002B2CF9AE}" pid="4" name="KSOTemplateDocerSaveRecord">
    <vt:lpwstr>eyJoZGlkIjoiMzEwNTM5NzYwMDRjMzkwZTVkZjY2ODkwMGIxNGU0OTUiLCJ1c2VySWQiOiIxNzQ1OTk5MzkxIn0=</vt:lpwstr>
  </property>
</Properties>
</file>