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line="560" w:lineRule="exact"/>
        <w:ind w:firstLine="883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</w:p>
    <w:p>
      <w:pPr>
        <w:pStyle w:val="2"/>
        <w:rPr>
          <w:rFonts w:hint="eastAsia"/>
        </w:rPr>
      </w:pPr>
    </w:p>
    <w:p>
      <w:pPr>
        <w:widowControl w:val="0"/>
        <w:wordWrap/>
        <w:adjustRightInd/>
        <w:snapToGrid/>
        <w:spacing w:line="560" w:lineRule="exact"/>
        <w:ind w:firstLine="883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</w:p>
    <w:p>
      <w:pPr>
        <w:pStyle w:val="2"/>
        <w:ind w:left="0" w:leftChars="0" w:firstLine="0" w:firstLineChars="0"/>
        <w:rPr>
          <w:rFonts w:hint="eastAsia"/>
        </w:rPr>
      </w:pPr>
    </w:p>
    <w:p>
      <w:pPr>
        <w:widowControl w:val="0"/>
        <w:wordWrap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坎政〔2025〕4号</w:t>
      </w:r>
    </w:p>
    <w:p>
      <w:pPr>
        <w:pStyle w:val="2"/>
        <w:ind w:left="0" w:leftChars="0" w:firstLine="0" w:firstLineChars="0"/>
        <w:rPr>
          <w:rFonts w:hint="eastAsia"/>
        </w:rPr>
      </w:pPr>
    </w:p>
    <w:p>
      <w:pPr>
        <w:widowControl w:val="0"/>
        <w:wordWrap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坎市镇人民政府关于进一步做好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年早稻生产和春季农业生产的工作意见</w:t>
      </w:r>
    </w:p>
    <w:p>
      <w:pPr>
        <w:widowControl w:val="0"/>
        <w:wordWrap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widowControl w:val="0"/>
        <w:wordWrap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各村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（居）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委会，镇直有关单位：</w:t>
      </w:r>
    </w:p>
    <w:p>
      <w:pPr>
        <w:widowControl/>
        <w:adjustRightInd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为深入贯彻2025年中央、省农村工作会议精神，确保春季农业生产“开门稳”，促进粮食生产稳定健康发展。根据中共龙岩市永定区委农村工作领导小组办公室《关于做好2025年早稻和春季农业生产的指导意见》（永委农办〔2025〕5号）文件精神，结合我镇实际提出2025年早稻生产和春季农业生产工作意见如下。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全力抓好粮食生产</w:t>
      </w:r>
    </w:p>
    <w:p>
      <w:pPr>
        <w:widowControl w:val="0"/>
        <w:wordWrap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为了扛稳粮食安全的政治责任，按照粮食安全党政同责要求，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稳定粮食播种面积和产量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确保完成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年全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镇全年</w:t>
      </w:r>
      <w:r>
        <w:rPr>
          <w:rFonts w:hint="eastAsia" w:ascii="仿宋_GB2312" w:hAnsi="仿宋_GB2312" w:eastAsia="仿宋_GB2312" w:cs="仿宋_GB2312"/>
          <w:sz w:val="32"/>
          <w:szCs w:val="32"/>
        </w:rPr>
        <w:t>粮食播种面积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9200</w:t>
      </w:r>
      <w:r>
        <w:rPr>
          <w:rFonts w:hint="eastAsia" w:ascii="仿宋_GB2312" w:hAnsi="仿宋_GB2312" w:eastAsia="仿宋_GB2312" w:cs="仿宋_GB2312"/>
          <w:sz w:val="32"/>
          <w:szCs w:val="32"/>
        </w:rPr>
        <w:t>亩、总产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3875</w:t>
      </w:r>
      <w:r>
        <w:rPr>
          <w:rFonts w:hint="eastAsia" w:ascii="仿宋_GB2312" w:hAnsi="仿宋_GB2312" w:eastAsia="仿宋_GB2312" w:cs="仿宋_GB2312"/>
          <w:sz w:val="32"/>
          <w:szCs w:val="32"/>
        </w:rPr>
        <w:t>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的底线目标。</w:t>
      </w:r>
    </w:p>
    <w:p>
      <w:pPr>
        <w:pStyle w:val="3"/>
        <w:widowControl w:val="0"/>
        <w:wordWrap/>
        <w:adjustRightInd/>
        <w:snapToGrid/>
        <w:spacing w:line="560" w:lineRule="exact"/>
        <w:ind w:right="34" w:firstLine="607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pacing w:val="-9"/>
          <w:sz w:val="32"/>
          <w:szCs w:val="32"/>
        </w:rPr>
        <w:t>1.抓早稻、抓旱粮。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2025年粮食生产的重点工作应突出抓好早稻生产，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各村（居）委会要在2月20日前将早稻指导性目标面积及时分解落实到组、到户，确保完成早稻面积1600亩的指导性目标任务(见附件)。对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区级早稻生产示范片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早安排、早落实要在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3月10日前完成播种，4月10日前完成插秧工作。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要采取有效措施，鼓励和引导农民尽可能增加春播面积，努力扩大早春大豆、优质甘薯、马铃薯、鲜食玉米等旱粮的种植面积，为全年粮食生产打好基础。</w:t>
      </w:r>
    </w:p>
    <w:p>
      <w:pPr>
        <w:pStyle w:val="3"/>
        <w:widowControl w:val="0"/>
        <w:adjustRightInd/>
        <w:snapToGrid/>
        <w:spacing w:line="560" w:lineRule="exact"/>
        <w:ind w:right="2" w:firstLine="607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-9"/>
          <w:sz w:val="32"/>
          <w:szCs w:val="32"/>
        </w:rPr>
        <w:t>2.加强惠农政策宣传、落实。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要加大宣传力度，将中央、省、市、区一系列惠农扶粮政策宣传到村、组，做到家喻户晓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充分调动农民种粮积极性，稳定粮食生产面积。</w:t>
      </w:r>
    </w:p>
    <w:p>
      <w:pPr>
        <w:widowControl w:val="0"/>
        <w:wordWrap/>
        <w:adjustRightInd/>
        <w:snapToGrid w:val="0"/>
        <w:spacing w:line="560" w:lineRule="exact"/>
        <w:ind w:firstLine="607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-9"/>
          <w:kern w:val="2"/>
          <w:sz w:val="32"/>
          <w:szCs w:val="32"/>
          <w:lang w:val="en-US" w:eastAsia="en-US" w:bidi="ar-SA"/>
        </w:rPr>
        <w:t>3.落实关键技术。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落实好“藏粮于技”战略，以粮食绿色高质高效为目标，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sz w:val="32"/>
          <w:szCs w:val="32"/>
        </w:rPr>
        <w:t>一要良种良法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sz w:val="32"/>
          <w:szCs w:val="32"/>
          <w:lang w:val="en-US" w:eastAsia="zh-CN"/>
        </w:rPr>
        <w:t>良机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sz w:val="32"/>
          <w:szCs w:val="32"/>
        </w:rPr>
        <w:t>配套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实现主导品种、主推技术和主力机型的“三主”融合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sz w:val="32"/>
          <w:szCs w:val="32"/>
        </w:rPr>
        <w:t>二要落实好粮食单产提升。</w:t>
      </w:r>
      <w:r>
        <w:rPr>
          <w:rFonts w:hint="eastAsia" w:ascii="仿宋_GB2312" w:hAnsi="仿宋_GB2312" w:eastAsia="仿宋_GB2312" w:cs="仿宋_GB2312"/>
          <w:b w:val="0"/>
          <w:bCs w:val="0"/>
          <w:spacing w:val="2"/>
          <w:sz w:val="32"/>
          <w:szCs w:val="32"/>
        </w:rPr>
        <w:t>促进平衡增产，提高农民</w:t>
      </w:r>
      <w:r>
        <w:rPr>
          <w:rFonts w:hint="eastAsia" w:ascii="仿宋_GB2312" w:hAnsi="仿宋_GB2312" w:eastAsia="仿宋_GB2312" w:cs="仿宋_GB2312"/>
          <w:b w:val="0"/>
          <w:bCs w:val="0"/>
          <w:spacing w:val="-9"/>
          <w:sz w:val="32"/>
          <w:szCs w:val="32"/>
        </w:rPr>
        <w:t>科学种粮水平。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sz w:val="32"/>
          <w:szCs w:val="32"/>
        </w:rPr>
        <w:t>三要</w:t>
      </w:r>
      <w:r>
        <w:rPr>
          <w:rFonts w:hint="eastAsia" w:ascii="仿宋_GB2312" w:hAnsi="仿宋_GB2312" w:eastAsia="仿宋_GB2312" w:cs="仿宋_GB2312"/>
          <w:b w:val="0"/>
          <w:bCs w:val="0"/>
          <w:spacing w:val="-3"/>
          <w:sz w:val="32"/>
          <w:szCs w:val="32"/>
        </w:rPr>
        <w:t>着力推进水稻集中育秧工作</w:t>
      </w:r>
      <w:r>
        <w:rPr>
          <w:rFonts w:hint="eastAsia" w:ascii="仿宋_GB2312" w:hAnsi="仿宋_GB2312" w:eastAsia="仿宋_GB2312" w:cs="仿宋_GB2312"/>
          <w:b w:val="0"/>
          <w:bCs w:val="0"/>
          <w:spacing w:val="-2"/>
          <w:sz w:val="32"/>
          <w:szCs w:val="32"/>
        </w:rPr>
        <w:t>,减少育秧成本，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减轻气候影响，</w:t>
      </w:r>
      <w:r>
        <w:rPr>
          <w:rFonts w:hint="eastAsia" w:ascii="仿宋_GB2312" w:hAnsi="仿宋_GB2312" w:eastAsia="仿宋_GB2312" w:cs="仿宋_GB2312"/>
          <w:b w:val="0"/>
          <w:bCs w:val="0"/>
          <w:spacing w:val="-2"/>
          <w:sz w:val="32"/>
          <w:szCs w:val="32"/>
        </w:rPr>
        <w:t>提高秧苗素质</w:t>
      </w:r>
      <w:r>
        <w:rPr>
          <w:rFonts w:hint="eastAsia" w:ascii="仿宋_GB2312" w:hAnsi="仿宋_GB2312" w:eastAsia="仿宋_GB2312" w:cs="仿宋_GB2312"/>
          <w:b w:val="0"/>
          <w:bCs w:val="0"/>
          <w:spacing w:val="-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sz w:val="32"/>
          <w:szCs w:val="32"/>
        </w:rPr>
        <w:t>四要抓好病虫害绿色防控工作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大力推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广病虫害统防统治，努力提高病虫害防治专业化、组织化程度，扩大病虫害专业化防治面积及范围，提高病虫害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绿色防控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效果。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支持新型经营主体和植保专业服务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组织开展病虫害统防统治社会化服务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。</w:t>
      </w:r>
    </w:p>
    <w:p>
      <w:pPr>
        <w:widowControl w:val="0"/>
        <w:adjustRightInd/>
        <w:snapToGrid/>
        <w:spacing w:line="560" w:lineRule="exact"/>
        <w:ind w:firstLine="607" w:firstLineChars="200"/>
        <w:jc w:val="both"/>
        <w:textAlignment w:val="auto"/>
        <w:rPr>
          <w:rFonts w:hint="eastAsia" w:ascii="仿宋" w:hAnsi="仿宋" w:eastAsia="仿宋" w:cs="仿宋"/>
          <w:spacing w:val="-8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-9"/>
          <w:kern w:val="2"/>
          <w:sz w:val="32"/>
          <w:szCs w:val="32"/>
          <w:lang w:val="en-US" w:eastAsia="en-US" w:bidi="ar-SA"/>
        </w:rPr>
        <w:t>4.做好春耕备耕工作。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sz w:val="32"/>
          <w:szCs w:val="32"/>
        </w:rPr>
        <w:t>一要抓好技术指导服务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各村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  <w:lang w:val="en-US" w:eastAsia="zh-CN"/>
        </w:rPr>
        <w:t>居）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委会、各相关部门要各司其职、各负其责，把春耕生产作为当前农业农村工作的中心任务，迅速掀起春耕备耕工作热潮。要组织技术人员在查苗情、查病虫情的基础上，制定有针对性的春季田管技术方案，指导农民利用晴好天气及时因时、因地、因苗落实好农作物的田管措施，确保蔬菜等重要农产品的供给，努力争取春收作物有好的收成，为全年农业增产增收打下坚实的基础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要组织精干的农业科技队伍深入农村，深入田间地头指导农民科学做好春耕春管工作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引导农民合理安排好早稻播种期，适时播种，培育足量壮苗，为夏粮丰收打好基础。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sz w:val="32"/>
          <w:szCs w:val="32"/>
        </w:rPr>
        <w:t>二要抓好集中育秧服务。“秧好半年稻”,要千方百计指导农民把好育秧关，要充分发挥水稻工厂化机插育秧示范点的作用，大力推广机插暗化育苗和大棚薄膜集中育秧，要把早稻集中育秧作为春耕备耕的一项重点工作来抓。三要抓好农机作业服务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要及时做好农机具的检修、维护、调度工作，积极组织农机下田，服务春耕生产，加快春耕生产进度。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  <w:lang w:val="en-US" w:eastAsia="zh-CN"/>
        </w:rPr>
        <w:t>在建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田间工程要加快施工进度，完善水利设施,确保农田灌溉需要。四要做好种苗、化肥、农药市场调剂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要做好种子、肥料、农药、农膜等农用物资的准备，加强农资监管，保证农资供应，确保各项农资货源足、质量优、价格稳。</w:t>
      </w:r>
    </w:p>
    <w:p>
      <w:pPr>
        <w:widowControl w:val="0"/>
        <w:wordWrap/>
        <w:adjustRightInd/>
        <w:snapToGrid/>
        <w:spacing w:line="560" w:lineRule="exact"/>
        <w:ind w:firstLine="604" w:firstLineChars="200"/>
        <w:jc w:val="both"/>
        <w:textAlignment w:val="auto"/>
        <w:outlineLvl w:val="1"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pacing w:val="-9"/>
          <w:sz w:val="32"/>
          <w:szCs w:val="32"/>
        </w:rPr>
        <w:t>二、提升“菜篮子”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稳产</w:t>
      </w:r>
      <w:r>
        <w:rPr>
          <w:rFonts w:ascii="黑体" w:hAnsi="黑体" w:eastAsia="黑体" w:cs="黑体"/>
          <w:b w:val="0"/>
          <w:bCs w:val="0"/>
          <w:spacing w:val="-9"/>
          <w:sz w:val="32"/>
          <w:szCs w:val="32"/>
        </w:rPr>
        <w:t>保供水平</w:t>
      </w:r>
    </w:p>
    <w:p>
      <w:pPr>
        <w:wordWrap/>
        <w:autoSpaceDN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要把“菜篮子”产品生产、保障供给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作</w:t>
      </w:r>
      <w:r>
        <w:rPr>
          <w:rFonts w:hint="eastAsia" w:ascii="仿宋_GB2312" w:hAnsi="仿宋_GB2312" w:eastAsia="仿宋_GB2312" w:cs="仿宋_GB2312"/>
          <w:sz w:val="32"/>
          <w:szCs w:val="32"/>
        </w:rPr>
        <w:t>为当前农业农村工作的大事、要事来抓，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做好稳产保供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要加强宣传，动员菜农扩大叶菜类蔬菜播种面积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加强生产调度，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避免</w:t>
      </w:r>
      <w:r>
        <w:rPr>
          <w:rFonts w:hint="eastAsia" w:ascii="仿宋_GB2312" w:hAnsi="仿宋_GB2312" w:eastAsia="仿宋_GB2312" w:cs="仿宋_GB2312"/>
          <w:sz w:val="32"/>
          <w:szCs w:val="32"/>
        </w:rPr>
        <w:t>4-5月份部分产品特别是叶菜出现断档。要加强现有在田蔬菜管理，提高蔬菜产量和品质，特别是充分利用现有设施大棚，大力发展茄果类、瓜类等优势蔬菜生产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，确保我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“菜篮子”稳产保供。</w:t>
      </w:r>
      <w:bookmarkStart w:id="0" w:name="_GoBack"/>
      <w:bookmarkEnd w:id="0"/>
    </w:p>
    <w:p>
      <w:pPr>
        <w:widowControl w:val="0"/>
        <w:adjustRightInd/>
        <w:snapToGrid/>
        <w:spacing w:line="560" w:lineRule="exact"/>
        <w:ind w:firstLine="600" w:firstLineChars="200"/>
        <w:jc w:val="both"/>
        <w:textAlignment w:val="auto"/>
        <w:outlineLvl w:val="1"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10"/>
          <w:sz w:val="32"/>
          <w:szCs w:val="32"/>
          <w:lang w:val="en-US" w:eastAsia="zh-CN"/>
        </w:rPr>
        <w:t xml:space="preserve"> </w:t>
      </w:r>
      <w:r>
        <w:rPr>
          <w:rFonts w:ascii="黑体" w:hAnsi="黑体" w:eastAsia="黑体" w:cs="黑体"/>
          <w:b w:val="0"/>
          <w:bCs w:val="0"/>
          <w:spacing w:val="-10"/>
          <w:sz w:val="32"/>
          <w:szCs w:val="32"/>
        </w:rPr>
        <w:t>三、强化质量监管</w:t>
      </w:r>
    </w:p>
    <w:p>
      <w:pPr>
        <w:wordWrap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严格投入品使用监管，落实新修订的农药管理条例，推进农药追溯体系建设。严格实施限制使用农药定点经营，推行专柜销售、实名购买、电子档案和追溯管理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加强农药使用安全风险评估监控，指导农民科学用药，严格落实按标签标注用药和安全间隔期制度，确保农产品质量安全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建立农产品质量安全全程监管机制，健全投入品管理、生产档案、产品检测、基地准出和质量追溯等5项制度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深入开展以农药残留监控为重点的农产品质量安全专项治理行动，确保从田头到餐桌的质量安全。</w:t>
      </w:r>
    </w:p>
    <w:p>
      <w:pPr>
        <w:wordWrap/>
        <w:adjustRightIn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加强农田基础设施建设</w:t>
      </w:r>
    </w:p>
    <w:p>
      <w:pPr>
        <w:widowControl w:val="0"/>
        <w:wordWrap/>
        <w:autoSpaceDN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要做好冬春修农田水利建设工作，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切实</w:t>
      </w:r>
      <w:r>
        <w:rPr>
          <w:rFonts w:hint="eastAsia" w:ascii="仿宋_GB2312" w:hAnsi="仿宋_GB2312" w:eastAsia="仿宋_GB2312" w:cs="仿宋_GB2312"/>
          <w:sz w:val="32"/>
          <w:szCs w:val="32"/>
        </w:rPr>
        <w:t>落实好“藏粮于地”战略，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争取</w:t>
      </w:r>
      <w:r>
        <w:rPr>
          <w:rFonts w:hint="eastAsia" w:ascii="仿宋_GB2312" w:hAnsi="仿宋_GB2312" w:eastAsia="仿宋_GB2312" w:cs="仿宋_GB2312"/>
          <w:sz w:val="32"/>
          <w:szCs w:val="32"/>
        </w:rPr>
        <w:t>高标准农田建设项目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落地我镇</w:t>
      </w:r>
      <w:r>
        <w:rPr>
          <w:rFonts w:hint="eastAsia" w:ascii="仿宋_GB2312" w:hAnsi="仿宋_GB2312" w:eastAsia="仿宋_GB2312" w:cs="仿宋_GB2312"/>
          <w:sz w:val="32"/>
          <w:szCs w:val="32"/>
        </w:rPr>
        <w:t>，不断提高农业基础设施建设水平，完善节水灌溉、道路等设施，建设高产稳产、旱涝保收、节水高效的规范化农田，稳步提高耕地基础地力和产出能力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不断提高土壤肥力。</w:t>
      </w:r>
    </w:p>
    <w:p>
      <w:pPr>
        <w:widowControl w:val="0"/>
        <w:wordWrap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增强防灾意识，提高灾害应对能力</w:t>
      </w:r>
    </w:p>
    <w:p>
      <w:pPr>
        <w:widowControl w:val="0"/>
        <w:wordWrap/>
        <w:adjustRightInd/>
        <w:snapToGrid w:val="0"/>
        <w:spacing w:beforeAutospacing="0"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我区自然灾害频发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低温、强降雨、台风、冰雹、干旱等自然灾害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可能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对农业生产造成重大损失。一要树立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防灾减灾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责任意识。要建立农业灾害应急预案，落实防灾减灾责任，以防范“春寒”和“倒春寒”为重点，尤其是露天蔬菜；果树、茶叶和简易设施蔬菜要加强防范，密切关注各类农业灾害的发展动态，提升灾害的应变能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二要加强灾害预警预报。要密切关注降温预警信息，充分利用手机微信、短信、广播、电视等媒体，向广大农民宣传、发布预警信息，增强防范意识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</w:rPr>
        <w:t>要切实加强防寒防低温措施的落实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</w:rPr>
        <w:t>要指导农民做好秧田、菜园、果树、茶园等防患措施，尤其是加强秧田防寒，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千方百计减少低温寒流可能造成的烂种烂秧和死苗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甘薯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作物的育苗田块，要做好地膜覆盖，保温防寒，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育好苗、育壮苗。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附件：2025年早稻生产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/>
        </w:rPr>
        <w:t>指导性目标任务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和早稻生产示范片面积任务安排表</w:t>
      </w:r>
    </w:p>
    <w:p>
      <w:pPr>
        <w:widowControl w:val="0"/>
        <w:numPr>
          <w:ilvl w:val="0"/>
          <w:numId w:val="0"/>
        </w:numPr>
        <w:wordWrap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            </w:t>
      </w:r>
    </w:p>
    <w:p>
      <w:pPr>
        <w:widowControl w:val="0"/>
        <w:numPr>
          <w:ilvl w:val="0"/>
          <w:numId w:val="0"/>
        </w:numPr>
        <w:wordWrap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wordWrap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wordWrap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</w:t>
      </w:r>
    </w:p>
    <w:p>
      <w:pPr>
        <w:widowControl w:val="0"/>
        <w:numPr>
          <w:ilvl w:val="0"/>
          <w:numId w:val="0"/>
        </w:numPr>
        <w:wordWrap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wordWrap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            </w:t>
      </w:r>
    </w:p>
    <w:p>
      <w:pPr>
        <w:widowControl w:val="0"/>
        <w:numPr>
          <w:ilvl w:val="0"/>
          <w:numId w:val="0"/>
        </w:numPr>
        <w:wordWrap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              坎市镇人民政府  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2025年2月17日  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2025年早稻生产指导性目标任务和早稻生产示范片面积任务安排表</w:t>
      </w:r>
    </w:p>
    <w:tbl>
      <w:tblPr>
        <w:tblStyle w:val="9"/>
        <w:tblW w:w="8290" w:type="dxa"/>
        <w:tblInd w:w="4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1009"/>
        <w:gridCol w:w="2028"/>
        <w:gridCol w:w="1378"/>
        <w:gridCol w:w="2137"/>
        <w:gridCol w:w="8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874" w:type="dxa"/>
            <w:vAlign w:val="center"/>
          </w:tcPr>
          <w:p>
            <w:pPr>
              <w:pStyle w:val="8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</w:rPr>
              <w:t>序号</w:t>
            </w:r>
          </w:p>
        </w:tc>
        <w:tc>
          <w:tcPr>
            <w:tcW w:w="1009" w:type="dxa"/>
            <w:vAlign w:val="center"/>
          </w:tcPr>
          <w:p>
            <w:pPr>
              <w:pStyle w:val="8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</w:rPr>
              <w:t>村别</w:t>
            </w:r>
          </w:p>
        </w:tc>
        <w:tc>
          <w:tcPr>
            <w:tcW w:w="2028" w:type="dxa"/>
            <w:vAlign w:val="center"/>
          </w:tcPr>
          <w:p>
            <w:pPr>
              <w:pStyle w:val="8"/>
              <w:adjustRightInd/>
              <w:spacing w:line="560" w:lineRule="exact"/>
              <w:ind w:right="123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</w:rPr>
              <w:t>早稻生产</w:t>
            </w:r>
            <w:r>
              <w:rPr>
                <w:rFonts w:hint="eastAsia" w:ascii="仿宋_GB2312" w:hAnsi="仿宋_GB2312" w:eastAsia="仿宋_GB2312" w:cs="仿宋_GB2312"/>
                <w:spacing w:val="6"/>
                <w:lang w:val="en-US" w:eastAsia="zh-CN"/>
              </w:rPr>
              <w:t>指导性</w:t>
            </w:r>
            <w:r>
              <w:rPr>
                <w:rFonts w:hint="eastAsia" w:ascii="仿宋_GB2312" w:hAnsi="仿宋_GB2312" w:eastAsia="仿宋_GB2312" w:cs="仿宋_GB2312"/>
                <w:spacing w:val="6"/>
              </w:rPr>
              <w:t>目标任务面积(亩)</w:t>
            </w:r>
          </w:p>
        </w:tc>
        <w:tc>
          <w:tcPr>
            <w:tcW w:w="1378" w:type="dxa"/>
            <w:vAlign w:val="center"/>
          </w:tcPr>
          <w:p>
            <w:pPr>
              <w:pStyle w:val="8"/>
              <w:adjustRightInd/>
              <w:spacing w:line="560" w:lineRule="exact"/>
              <w:ind w:right="194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</w:rPr>
              <w:t>产量</w:t>
            </w:r>
          </w:p>
          <w:p>
            <w:pPr>
              <w:pStyle w:val="8"/>
              <w:adjustRightInd/>
              <w:spacing w:line="560" w:lineRule="exact"/>
              <w:ind w:right="194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7"/>
              </w:rPr>
              <w:t>(吨)</w:t>
            </w:r>
          </w:p>
        </w:tc>
        <w:tc>
          <w:tcPr>
            <w:tcW w:w="2137" w:type="dxa"/>
            <w:vAlign w:val="center"/>
          </w:tcPr>
          <w:p>
            <w:pPr>
              <w:pStyle w:val="8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</w:rPr>
              <w:t>早稻生产示范</w:t>
            </w:r>
          </w:p>
          <w:p>
            <w:pPr>
              <w:pStyle w:val="8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</w:rPr>
              <w:t>片面积(亩)</w:t>
            </w:r>
          </w:p>
        </w:tc>
        <w:tc>
          <w:tcPr>
            <w:tcW w:w="864" w:type="dxa"/>
            <w:vAlign w:val="center"/>
          </w:tcPr>
          <w:p>
            <w:pPr>
              <w:pStyle w:val="8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874" w:type="dxa"/>
            <w:vAlign w:val="center"/>
          </w:tcPr>
          <w:p>
            <w:pPr>
              <w:pStyle w:val="8"/>
              <w:adjustRightInd/>
              <w:spacing w:line="560" w:lineRule="exact"/>
              <w:ind w:firstLine="254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lang w:val="en-US" w:eastAsia="zh-CN"/>
              </w:rPr>
              <w:t>1</w:t>
            </w:r>
          </w:p>
        </w:tc>
        <w:tc>
          <w:tcPr>
            <w:tcW w:w="1009" w:type="dxa"/>
            <w:vAlign w:val="center"/>
          </w:tcPr>
          <w:p>
            <w:pPr>
              <w:pStyle w:val="8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  <w:t>坎街</w:t>
            </w:r>
          </w:p>
        </w:tc>
        <w:tc>
          <w:tcPr>
            <w:tcW w:w="2028" w:type="dxa"/>
            <w:vAlign w:val="center"/>
          </w:tcPr>
          <w:p>
            <w:pPr>
              <w:pStyle w:val="8"/>
              <w:adjustRightInd/>
              <w:spacing w:line="560" w:lineRule="exact"/>
              <w:ind w:left="162" w:right="123" w:firstLine="504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lang w:val="en-US" w:eastAsia="zh-CN"/>
              </w:rPr>
              <w:t>975</w:t>
            </w:r>
          </w:p>
        </w:tc>
        <w:tc>
          <w:tcPr>
            <w:tcW w:w="1378" w:type="dxa"/>
            <w:vAlign w:val="center"/>
          </w:tcPr>
          <w:p>
            <w:pPr>
              <w:pStyle w:val="8"/>
              <w:adjustRightInd/>
              <w:spacing w:line="560" w:lineRule="exact"/>
              <w:ind w:right="194" w:firstLine="488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400</w:t>
            </w:r>
          </w:p>
        </w:tc>
        <w:tc>
          <w:tcPr>
            <w:tcW w:w="2137" w:type="dxa"/>
            <w:vAlign w:val="center"/>
          </w:tcPr>
          <w:p>
            <w:pPr>
              <w:pStyle w:val="8"/>
              <w:adjustRightInd/>
              <w:spacing w:line="560" w:lineRule="exact"/>
              <w:ind w:firstLine="512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lang w:val="en-US" w:eastAsia="zh-CN"/>
              </w:rPr>
              <w:t>100</w:t>
            </w:r>
          </w:p>
        </w:tc>
        <w:tc>
          <w:tcPr>
            <w:tcW w:w="864" w:type="dxa"/>
            <w:vAlign w:val="center"/>
          </w:tcPr>
          <w:p>
            <w:pPr>
              <w:pStyle w:val="8"/>
              <w:adjustRightInd/>
              <w:spacing w:line="560" w:lineRule="exact"/>
              <w:ind w:left="209" w:firstLine="504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874" w:type="dxa"/>
            <w:vAlign w:val="center"/>
          </w:tcPr>
          <w:p>
            <w:pPr>
              <w:pStyle w:val="8"/>
              <w:adjustRightInd/>
              <w:spacing w:line="560" w:lineRule="exact"/>
              <w:ind w:firstLine="254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lang w:val="en-US" w:eastAsia="zh-CN"/>
              </w:rPr>
              <w:t>2</w:t>
            </w:r>
          </w:p>
        </w:tc>
        <w:tc>
          <w:tcPr>
            <w:tcW w:w="1009" w:type="dxa"/>
            <w:vAlign w:val="center"/>
          </w:tcPr>
          <w:p>
            <w:pPr>
              <w:pStyle w:val="8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  <w:t>秀山</w:t>
            </w:r>
          </w:p>
        </w:tc>
        <w:tc>
          <w:tcPr>
            <w:tcW w:w="2028" w:type="dxa"/>
            <w:vAlign w:val="center"/>
          </w:tcPr>
          <w:p>
            <w:pPr>
              <w:pStyle w:val="8"/>
              <w:adjustRightInd/>
              <w:spacing w:line="560" w:lineRule="exact"/>
              <w:ind w:left="162" w:right="123" w:firstLine="504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lang w:val="en-US" w:eastAsia="zh-CN"/>
              </w:rPr>
              <w:t>95</w:t>
            </w:r>
          </w:p>
        </w:tc>
        <w:tc>
          <w:tcPr>
            <w:tcW w:w="1378" w:type="dxa"/>
            <w:vAlign w:val="center"/>
          </w:tcPr>
          <w:p>
            <w:pPr>
              <w:pStyle w:val="8"/>
              <w:adjustRightInd/>
              <w:spacing w:line="560" w:lineRule="exact"/>
              <w:ind w:right="194" w:firstLine="488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38</w:t>
            </w:r>
          </w:p>
        </w:tc>
        <w:tc>
          <w:tcPr>
            <w:tcW w:w="2137" w:type="dxa"/>
            <w:vAlign w:val="center"/>
          </w:tcPr>
          <w:p>
            <w:pPr>
              <w:pStyle w:val="8"/>
              <w:adjustRightInd/>
              <w:spacing w:line="560" w:lineRule="exact"/>
              <w:ind w:firstLine="512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lang w:val="en-US" w:eastAsia="zh-CN"/>
              </w:rPr>
              <w:t>0</w:t>
            </w:r>
          </w:p>
        </w:tc>
        <w:tc>
          <w:tcPr>
            <w:tcW w:w="864" w:type="dxa"/>
            <w:vAlign w:val="center"/>
          </w:tcPr>
          <w:p>
            <w:pPr>
              <w:pStyle w:val="8"/>
              <w:adjustRightInd/>
              <w:spacing w:line="560" w:lineRule="exact"/>
              <w:ind w:left="209" w:firstLine="504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874" w:type="dxa"/>
            <w:vAlign w:val="center"/>
          </w:tcPr>
          <w:p>
            <w:pPr>
              <w:pStyle w:val="8"/>
              <w:adjustRightInd/>
              <w:spacing w:line="560" w:lineRule="exact"/>
              <w:ind w:firstLine="254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lang w:val="en-US" w:eastAsia="zh-CN"/>
              </w:rPr>
              <w:t>3</w:t>
            </w:r>
          </w:p>
        </w:tc>
        <w:tc>
          <w:tcPr>
            <w:tcW w:w="1009" w:type="dxa"/>
            <w:vAlign w:val="center"/>
          </w:tcPr>
          <w:p>
            <w:pPr>
              <w:pStyle w:val="8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  <w:t>文馆</w:t>
            </w:r>
          </w:p>
        </w:tc>
        <w:tc>
          <w:tcPr>
            <w:tcW w:w="2028" w:type="dxa"/>
            <w:vAlign w:val="center"/>
          </w:tcPr>
          <w:p>
            <w:pPr>
              <w:pStyle w:val="8"/>
              <w:adjustRightInd/>
              <w:spacing w:line="560" w:lineRule="exact"/>
              <w:ind w:left="162" w:right="123" w:firstLine="504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lang w:val="en-US" w:eastAsia="zh-CN"/>
              </w:rPr>
              <w:t>69</w:t>
            </w:r>
          </w:p>
        </w:tc>
        <w:tc>
          <w:tcPr>
            <w:tcW w:w="1378" w:type="dxa"/>
            <w:vAlign w:val="center"/>
          </w:tcPr>
          <w:p>
            <w:pPr>
              <w:pStyle w:val="8"/>
              <w:adjustRightInd/>
              <w:spacing w:line="560" w:lineRule="exact"/>
              <w:ind w:right="194" w:firstLine="488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27</w:t>
            </w:r>
          </w:p>
        </w:tc>
        <w:tc>
          <w:tcPr>
            <w:tcW w:w="2137" w:type="dxa"/>
            <w:vAlign w:val="center"/>
          </w:tcPr>
          <w:p>
            <w:pPr>
              <w:pStyle w:val="8"/>
              <w:adjustRightInd/>
              <w:spacing w:line="560" w:lineRule="exact"/>
              <w:ind w:firstLine="512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lang w:val="en-US" w:eastAsia="zh-CN"/>
              </w:rPr>
              <w:t>0</w:t>
            </w:r>
          </w:p>
        </w:tc>
        <w:tc>
          <w:tcPr>
            <w:tcW w:w="864" w:type="dxa"/>
            <w:vAlign w:val="center"/>
          </w:tcPr>
          <w:p>
            <w:pPr>
              <w:pStyle w:val="8"/>
              <w:adjustRightInd/>
              <w:spacing w:line="560" w:lineRule="exact"/>
              <w:ind w:left="209" w:firstLine="504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874" w:type="dxa"/>
            <w:vAlign w:val="center"/>
          </w:tcPr>
          <w:p>
            <w:pPr>
              <w:pStyle w:val="8"/>
              <w:adjustRightInd/>
              <w:spacing w:line="560" w:lineRule="exact"/>
              <w:ind w:firstLine="254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lang w:val="en-US" w:eastAsia="zh-CN"/>
              </w:rPr>
              <w:t>4</w:t>
            </w:r>
          </w:p>
        </w:tc>
        <w:tc>
          <w:tcPr>
            <w:tcW w:w="1009" w:type="dxa"/>
            <w:vAlign w:val="center"/>
          </w:tcPr>
          <w:p>
            <w:pPr>
              <w:pStyle w:val="8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  <w:t>浮山</w:t>
            </w:r>
          </w:p>
        </w:tc>
        <w:tc>
          <w:tcPr>
            <w:tcW w:w="2028" w:type="dxa"/>
            <w:vAlign w:val="center"/>
          </w:tcPr>
          <w:p>
            <w:pPr>
              <w:pStyle w:val="8"/>
              <w:adjustRightInd/>
              <w:spacing w:line="560" w:lineRule="exact"/>
              <w:ind w:left="162" w:right="123" w:firstLine="504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lang w:val="en-US" w:eastAsia="zh-CN"/>
              </w:rPr>
              <w:t>63</w:t>
            </w:r>
          </w:p>
        </w:tc>
        <w:tc>
          <w:tcPr>
            <w:tcW w:w="1378" w:type="dxa"/>
            <w:vAlign w:val="center"/>
          </w:tcPr>
          <w:p>
            <w:pPr>
              <w:pStyle w:val="8"/>
              <w:adjustRightInd/>
              <w:spacing w:line="560" w:lineRule="exact"/>
              <w:ind w:right="194" w:firstLine="488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26</w:t>
            </w:r>
          </w:p>
        </w:tc>
        <w:tc>
          <w:tcPr>
            <w:tcW w:w="2137" w:type="dxa"/>
            <w:vAlign w:val="center"/>
          </w:tcPr>
          <w:p>
            <w:pPr>
              <w:pStyle w:val="8"/>
              <w:adjustRightInd/>
              <w:spacing w:line="560" w:lineRule="exact"/>
              <w:ind w:firstLine="512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lang w:val="en-US" w:eastAsia="zh-CN"/>
              </w:rPr>
              <w:t>0</w:t>
            </w:r>
          </w:p>
        </w:tc>
        <w:tc>
          <w:tcPr>
            <w:tcW w:w="864" w:type="dxa"/>
            <w:vAlign w:val="center"/>
          </w:tcPr>
          <w:p>
            <w:pPr>
              <w:pStyle w:val="8"/>
              <w:adjustRightInd/>
              <w:spacing w:line="560" w:lineRule="exact"/>
              <w:ind w:left="209" w:firstLine="504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874" w:type="dxa"/>
            <w:vAlign w:val="center"/>
          </w:tcPr>
          <w:p>
            <w:pPr>
              <w:pStyle w:val="8"/>
              <w:adjustRightInd/>
              <w:spacing w:line="560" w:lineRule="exact"/>
              <w:ind w:firstLine="254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lang w:val="en-US" w:eastAsia="zh-CN"/>
              </w:rPr>
              <w:t>5</w:t>
            </w:r>
          </w:p>
        </w:tc>
        <w:tc>
          <w:tcPr>
            <w:tcW w:w="1009" w:type="dxa"/>
            <w:vAlign w:val="center"/>
          </w:tcPr>
          <w:p>
            <w:pPr>
              <w:pStyle w:val="8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  <w:t>新罗</w:t>
            </w:r>
          </w:p>
        </w:tc>
        <w:tc>
          <w:tcPr>
            <w:tcW w:w="2028" w:type="dxa"/>
            <w:vAlign w:val="center"/>
          </w:tcPr>
          <w:p>
            <w:pPr>
              <w:pStyle w:val="8"/>
              <w:adjustRightInd/>
              <w:spacing w:line="560" w:lineRule="exact"/>
              <w:ind w:left="162" w:right="123" w:firstLine="504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lang w:val="en-US" w:eastAsia="zh-CN"/>
              </w:rPr>
              <w:t>130</w:t>
            </w:r>
          </w:p>
        </w:tc>
        <w:tc>
          <w:tcPr>
            <w:tcW w:w="1378" w:type="dxa"/>
            <w:vAlign w:val="center"/>
          </w:tcPr>
          <w:p>
            <w:pPr>
              <w:pStyle w:val="8"/>
              <w:adjustRightInd/>
              <w:spacing w:line="560" w:lineRule="exact"/>
              <w:ind w:right="194" w:firstLine="488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54</w:t>
            </w:r>
          </w:p>
        </w:tc>
        <w:tc>
          <w:tcPr>
            <w:tcW w:w="2137" w:type="dxa"/>
            <w:vAlign w:val="center"/>
          </w:tcPr>
          <w:p>
            <w:pPr>
              <w:pStyle w:val="8"/>
              <w:adjustRightInd/>
              <w:spacing w:line="560" w:lineRule="exact"/>
              <w:ind w:firstLine="512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lang w:val="en-US" w:eastAsia="zh-CN"/>
              </w:rPr>
              <w:t>0</w:t>
            </w:r>
          </w:p>
        </w:tc>
        <w:tc>
          <w:tcPr>
            <w:tcW w:w="864" w:type="dxa"/>
            <w:vAlign w:val="center"/>
          </w:tcPr>
          <w:p>
            <w:pPr>
              <w:pStyle w:val="8"/>
              <w:adjustRightInd/>
              <w:spacing w:line="560" w:lineRule="exact"/>
              <w:ind w:left="209" w:firstLine="504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874" w:type="dxa"/>
            <w:vAlign w:val="center"/>
          </w:tcPr>
          <w:p>
            <w:pPr>
              <w:pStyle w:val="8"/>
              <w:adjustRightInd/>
              <w:spacing w:line="560" w:lineRule="exact"/>
              <w:ind w:firstLine="254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lang w:val="en-US" w:eastAsia="zh-CN"/>
              </w:rPr>
              <w:t>6</w:t>
            </w:r>
          </w:p>
        </w:tc>
        <w:tc>
          <w:tcPr>
            <w:tcW w:w="1009" w:type="dxa"/>
            <w:vAlign w:val="center"/>
          </w:tcPr>
          <w:p>
            <w:pPr>
              <w:pStyle w:val="8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  <w:t>洽溪</w:t>
            </w:r>
          </w:p>
        </w:tc>
        <w:tc>
          <w:tcPr>
            <w:tcW w:w="2028" w:type="dxa"/>
            <w:vAlign w:val="center"/>
          </w:tcPr>
          <w:p>
            <w:pPr>
              <w:pStyle w:val="8"/>
              <w:adjustRightInd/>
              <w:spacing w:line="560" w:lineRule="exact"/>
              <w:ind w:left="162" w:right="123" w:firstLine="504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lang w:val="en-US" w:eastAsia="zh-CN"/>
              </w:rPr>
              <w:t>90</w:t>
            </w:r>
          </w:p>
        </w:tc>
        <w:tc>
          <w:tcPr>
            <w:tcW w:w="1378" w:type="dxa"/>
            <w:vAlign w:val="center"/>
          </w:tcPr>
          <w:p>
            <w:pPr>
              <w:pStyle w:val="8"/>
              <w:adjustRightInd/>
              <w:spacing w:line="560" w:lineRule="exact"/>
              <w:ind w:right="194" w:firstLine="488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36</w:t>
            </w:r>
          </w:p>
        </w:tc>
        <w:tc>
          <w:tcPr>
            <w:tcW w:w="2137" w:type="dxa"/>
            <w:vAlign w:val="center"/>
          </w:tcPr>
          <w:p>
            <w:pPr>
              <w:pStyle w:val="8"/>
              <w:adjustRightInd/>
              <w:spacing w:line="560" w:lineRule="exact"/>
              <w:ind w:firstLine="512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lang w:val="en-US" w:eastAsia="zh-CN"/>
              </w:rPr>
              <w:t>0</w:t>
            </w:r>
          </w:p>
        </w:tc>
        <w:tc>
          <w:tcPr>
            <w:tcW w:w="864" w:type="dxa"/>
            <w:vAlign w:val="center"/>
          </w:tcPr>
          <w:p>
            <w:pPr>
              <w:pStyle w:val="8"/>
              <w:adjustRightInd/>
              <w:spacing w:line="560" w:lineRule="exact"/>
              <w:ind w:left="209" w:firstLine="504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874" w:type="dxa"/>
            <w:vAlign w:val="center"/>
          </w:tcPr>
          <w:p>
            <w:pPr>
              <w:pStyle w:val="8"/>
              <w:adjustRightInd/>
              <w:spacing w:line="560" w:lineRule="exact"/>
              <w:ind w:firstLine="254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lang w:val="en-US" w:eastAsia="zh-CN"/>
              </w:rPr>
              <w:t>7</w:t>
            </w:r>
          </w:p>
        </w:tc>
        <w:tc>
          <w:tcPr>
            <w:tcW w:w="1009" w:type="dxa"/>
            <w:vAlign w:val="center"/>
          </w:tcPr>
          <w:p>
            <w:pPr>
              <w:pStyle w:val="8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  <w:t>清溪</w:t>
            </w:r>
          </w:p>
        </w:tc>
        <w:tc>
          <w:tcPr>
            <w:tcW w:w="2028" w:type="dxa"/>
            <w:vAlign w:val="center"/>
          </w:tcPr>
          <w:p>
            <w:pPr>
              <w:pStyle w:val="8"/>
              <w:adjustRightInd/>
              <w:spacing w:line="560" w:lineRule="exact"/>
              <w:ind w:left="162" w:right="123" w:firstLine="504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lang w:val="en-US" w:eastAsia="zh-CN"/>
              </w:rPr>
              <w:t>178</w:t>
            </w:r>
          </w:p>
        </w:tc>
        <w:tc>
          <w:tcPr>
            <w:tcW w:w="1378" w:type="dxa"/>
            <w:vAlign w:val="center"/>
          </w:tcPr>
          <w:p>
            <w:pPr>
              <w:pStyle w:val="8"/>
              <w:adjustRightInd/>
              <w:spacing w:line="560" w:lineRule="exact"/>
              <w:ind w:right="194" w:firstLine="488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75</w:t>
            </w:r>
          </w:p>
        </w:tc>
        <w:tc>
          <w:tcPr>
            <w:tcW w:w="2137" w:type="dxa"/>
            <w:vAlign w:val="center"/>
          </w:tcPr>
          <w:p>
            <w:pPr>
              <w:pStyle w:val="8"/>
              <w:adjustRightInd/>
              <w:spacing w:line="560" w:lineRule="exact"/>
              <w:ind w:firstLine="512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lang w:val="en-US" w:eastAsia="zh-CN"/>
              </w:rPr>
              <w:t>50</w:t>
            </w:r>
          </w:p>
        </w:tc>
        <w:tc>
          <w:tcPr>
            <w:tcW w:w="864" w:type="dxa"/>
            <w:vAlign w:val="center"/>
          </w:tcPr>
          <w:p>
            <w:pPr>
              <w:pStyle w:val="8"/>
              <w:adjustRightInd/>
              <w:spacing w:line="560" w:lineRule="exact"/>
              <w:ind w:left="209" w:firstLine="504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1883" w:type="dxa"/>
            <w:gridSpan w:val="2"/>
            <w:vAlign w:val="center"/>
          </w:tcPr>
          <w:p>
            <w:pPr>
              <w:pStyle w:val="8"/>
              <w:adjustRightInd/>
              <w:spacing w:line="560" w:lineRule="exact"/>
              <w:ind w:firstLine="516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lang w:eastAsia="zh-CN"/>
              </w:rPr>
              <w:t>合计</w:t>
            </w:r>
          </w:p>
        </w:tc>
        <w:tc>
          <w:tcPr>
            <w:tcW w:w="2028" w:type="dxa"/>
            <w:vAlign w:val="center"/>
          </w:tcPr>
          <w:p>
            <w:pPr>
              <w:pStyle w:val="8"/>
              <w:adjustRightInd/>
              <w:spacing w:line="560" w:lineRule="exact"/>
              <w:ind w:left="162" w:right="123" w:firstLine="504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lang w:val="en-US" w:eastAsia="zh-CN"/>
              </w:rPr>
              <w:t>1600</w:t>
            </w:r>
          </w:p>
        </w:tc>
        <w:tc>
          <w:tcPr>
            <w:tcW w:w="1378" w:type="dxa"/>
            <w:vAlign w:val="center"/>
          </w:tcPr>
          <w:p>
            <w:pPr>
              <w:pStyle w:val="8"/>
              <w:adjustRightInd/>
              <w:spacing w:line="560" w:lineRule="exact"/>
              <w:ind w:right="194" w:firstLine="488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656</w:t>
            </w:r>
          </w:p>
        </w:tc>
        <w:tc>
          <w:tcPr>
            <w:tcW w:w="2137" w:type="dxa"/>
            <w:vAlign w:val="center"/>
          </w:tcPr>
          <w:p>
            <w:pPr>
              <w:pStyle w:val="8"/>
              <w:adjustRightInd/>
              <w:spacing w:line="560" w:lineRule="exact"/>
              <w:ind w:firstLine="512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lang w:val="en-US" w:eastAsia="zh-CN"/>
              </w:rPr>
              <w:t>150</w:t>
            </w:r>
          </w:p>
        </w:tc>
        <w:tc>
          <w:tcPr>
            <w:tcW w:w="864" w:type="dxa"/>
            <w:vAlign w:val="center"/>
          </w:tcPr>
          <w:p>
            <w:pPr>
              <w:pStyle w:val="8"/>
              <w:adjustRightInd/>
              <w:spacing w:line="560" w:lineRule="exact"/>
              <w:ind w:left="209" w:firstLine="504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6"/>
              </w:rPr>
            </w:pPr>
          </w:p>
        </w:tc>
      </w:tr>
    </w:tbl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17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rPr>
        <w:rFonts w:ascii="宋体" w:hAnsi="宋体" w:eastAsia="宋体" w:cs="宋体"/>
        <w:sz w:val="31"/>
        <w:szCs w:val="31"/>
      </w:rPr>
    </w:pPr>
    <w:r>
      <w:rPr>
        <w:rFonts w:ascii="Calibri" w:hAnsi="Calibri" w:eastAsia="宋体" w:cs="黑体"/>
        <w:kern w:val="2"/>
        <w:sz w:val="31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5dblS0AAAAAUBAAAPAAAAAAAAAAEAIAAAACIAAABkcnMvZG93bnJldi54bWxQSwEC&#10;FAAUAAAACACHTuJAfmucmMMBAACPAwAADgAAAAAAAAABACAAAAAf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4ZjE3ZTQyMTlkZmRiZGZhZWIwYzY5N2JlMTBjNDMifQ=="/>
  </w:docVars>
  <w:rsids>
    <w:rsidRoot w:val="684F7CF2"/>
    <w:rsid w:val="21135CCE"/>
    <w:rsid w:val="24482291"/>
    <w:rsid w:val="25D17B9A"/>
    <w:rsid w:val="2D090B71"/>
    <w:rsid w:val="2DC70E18"/>
    <w:rsid w:val="3F266AA8"/>
    <w:rsid w:val="3FA54DF8"/>
    <w:rsid w:val="4DC71D12"/>
    <w:rsid w:val="4F8945A3"/>
    <w:rsid w:val="632A5D8C"/>
    <w:rsid w:val="684F7CF2"/>
    <w:rsid w:val="6906005F"/>
    <w:rsid w:val="6F9A0441"/>
    <w:rsid w:val="7375407B"/>
    <w:rsid w:val="75AD63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2739</Words>
  <Characters>2815</Characters>
  <Lines>0</Lines>
  <Paragraphs>0</Paragraphs>
  <TotalTime>5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2024-07-19T08:13:00Z</dcterms:created>
  <dc:creator>Administrator</dc:creator>
  <cp:lastModifiedBy>Derrick</cp:lastModifiedBy>
  <cp:lastPrinted>2025-02-26T01:03:40Z</cp:lastPrinted>
  <dcterms:modified xsi:type="dcterms:W3CDTF">2025-02-26T01:03:56Z</dcterms:modified>
  <dc:title>坎市镇人民政府关于进一步做好2025年早稻生产和春季农业生产的工作意见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C6E5FBD9E9BB4F6BAE572C2F277A8445</vt:lpwstr>
  </property>
  <property fmtid="{D5CDD505-2E9C-101B-9397-08002B2CF9AE}" pid="4" name="KSOTemplateDocerSaveRecord">
    <vt:lpwstr>eyJoZGlkIjoiOGUzOWNhNjU0OTU5Zjg5MzVhOTQxN2IwZmVjZDdkNjEifQ==</vt:lpwstr>
  </property>
</Properties>
</file>