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F949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仿宋_GB2312" w:hAnsi="仿宋_GB2312" w:eastAsia="仿宋_GB2312" w:cs="仿宋_GB2312"/>
          <w:b/>
          <w:bCs w:val="0"/>
          <w:i w:val="0"/>
          <w:caps w:val="0"/>
          <w:color w:val="000000"/>
          <w:spacing w:val="0"/>
          <w:kern w:val="0"/>
          <w:sz w:val="32"/>
          <w:szCs w:val="32"/>
          <w:lang w:val="en-US" w:eastAsia="zh-CN" w:bidi="ar"/>
        </w:rPr>
      </w:pPr>
      <w:bookmarkStart w:id="1" w:name="_GoBack"/>
    </w:p>
    <w:p w14:paraId="6DE3170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仿宋_GB2312" w:hAnsi="仿宋_GB2312" w:eastAsia="仿宋_GB2312" w:cs="仿宋_GB2312"/>
          <w:b/>
          <w:bCs w:val="0"/>
          <w:i w:val="0"/>
          <w:caps w:val="0"/>
          <w:color w:val="000000"/>
          <w:spacing w:val="0"/>
          <w:kern w:val="0"/>
          <w:sz w:val="32"/>
          <w:szCs w:val="32"/>
          <w:lang w:val="en-US" w:eastAsia="zh-CN" w:bidi="ar"/>
        </w:rPr>
      </w:pPr>
    </w:p>
    <w:p w14:paraId="4EE25A3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仿宋_GB2312" w:hAnsi="仿宋_GB2312" w:eastAsia="仿宋_GB2312" w:cs="仿宋_GB2312"/>
          <w:b/>
          <w:bCs w:val="0"/>
          <w:i w:val="0"/>
          <w:caps w:val="0"/>
          <w:color w:val="000000"/>
          <w:spacing w:val="0"/>
          <w:kern w:val="0"/>
          <w:sz w:val="32"/>
          <w:szCs w:val="32"/>
          <w:lang w:val="en-US" w:eastAsia="zh-CN" w:bidi="ar"/>
        </w:rPr>
      </w:pPr>
    </w:p>
    <w:p w14:paraId="5C454A0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仿宋_GB2312" w:hAnsi="仿宋_GB2312" w:eastAsia="仿宋_GB2312" w:cs="仿宋_GB2312"/>
          <w:b/>
          <w:bCs w:val="0"/>
          <w:i w:val="0"/>
          <w:caps w:val="0"/>
          <w:color w:val="000000"/>
          <w:spacing w:val="0"/>
          <w:kern w:val="0"/>
          <w:sz w:val="32"/>
          <w:szCs w:val="32"/>
          <w:lang w:val="en-US" w:eastAsia="zh-CN" w:bidi="ar"/>
        </w:rPr>
      </w:pPr>
    </w:p>
    <w:p w14:paraId="4785B91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auto"/>
        <w:rPr>
          <w:rFonts w:hint="eastAsia" w:ascii="仿宋_GB2312" w:hAnsi="仿宋_GB2312" w:eastAsia="仿宋_GB2312" w:cs="仿宋_GB2312"/>
          <w:b w:val="0"/>
          <w:bCs/>
          <w:i w:val="0"/>
          <w:caps w:val="0"/>
          <w:color w:val="000000"/>
          <w:spacing w:val="0"/>
          <w:kern w:val="0"/>
          <w:sz w:val="36"/>
          <w:szCs w:val="36"/>
          <w:lang w:val="en-US" w:eastAsia="zh-CN" w:bidi="ar"/>
        </w:rPr>
      </w:pPr>
    </w:p>
    <w:p w14:paraId="318A671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仿宋" w:hAnsi="仿宋" w:eastAsia="仿宋" w:cs="仿宋"/>
          <w:b w:val="0"/>
          <w:bCs/>
          <w:i w:val="0"/>
          <w:caps w:val="0"/>
          <w:color w:val="000000"/>
          <w:spacing w:val="0"/>
          <w:kern w:val="0"/>
          <w:sz w:val="36"/>
          <w:szCs w:val="36"/>
          <w:lang w:val="en-US" w:eastAsia="zh-CN" w:bidi="ar"/>
        </w:rPr>
      </w:pPr>
      <w:r>
        <w:rPr>
          <w:rFonts w:hint="eastAsia" w:ascii="仿宋" w:hAnsi="仿宋" w:eastAsia="仿宋" w:cs="仿宋"/>
          <w:b w:val="0"/>
          <w:bCs/>
          <w:i w:val="0"/>
          <w:caps w:val="0"/>
          <w:color w:val="000000"/>
          <w:spacing w:val="0"/>
          <w:kern w:val="0"/>
          <w:sz w:val="36"/>
          <w:szCs w:val="36"/>
          <w:lang w:val="en-US" w:eastAsia="zh-CN" w:bidi="ar"/>
        </w:rPr>
        <w:t>坎政〔2021〕1号</w:t>
      </w:r>
    </w:p>
    <w:p w14:paraId="0D6549B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仿宋_GB2312" w:hAnsi="仿宋_GB2312" w:eastAsia="仿宋_GB2312" w:cs="仿宋_GB2312"/>
          <w:b/>
          <w:bCs w:val="0"/>
          <w:i w:val="0"/>
          <w:caps w:val="0"/>
          <w:color w:val="000000"/>
          <w:spacing w:val="0"/>
          <w:kern w:val="0"/>
          <w:sz w:val="32"/>
          <w:szCs w:val="32"/>
          <w:lang w:val="en-US" w:eastAsia="zh-CN" w:bidi="ar"/>
        </w:rPr>
      </w:pPr>
    </w:p>
    <w:p w14:paraId="568ECEA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仿宋_GB2312" w:hAnsi="仿宋_GB2312" w:eastAsia="仿宋_GB2312" w:cs="仿宋_GB2312"/>
          <w:b/>
          <w:bCs w:val="0"/>
          <w:i w:val="0"/>
          <w:caps w:val="0"/>
          <w:color w:val="000000"/>
          <w:spacing w:val="0"/>
          <w:kern w:val="0"/>
          <w:sz w:val="32"/>
          <w:szCs w:val="32"/>
          <w:lang w:val="en-US" w:eastAsia="zh-CN" w:bidi="ar"/>
        </w:rPr>
      </w:pPr>
    </w:p>
    <w:p w14:paraId="05A013F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坎市镇2020年政府信息公开工作年度报告</w:t>
      </w:r>
    </w:p>
    <w:p w14:paraId="01F1255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rPr>
          <w:rFonts w:hint="eastAsia" w:ascii="宋体" w:hAnsi="宋体" w:eastAsia="宋体" w:cs="宋体"/>
          <w:b/>
          <w:bCs/>
          <w:sz w:val="44"/>
          <w:szCs w:val="44"/>
          <w:lang w:val="en-US" w:eastAsia="zh-CN"/>
        </w:rPr>
      </w:pPr>
    </w:p>
    <w:p w14:paraId="42EF78C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center"/>
        <w:textAlignment w:val="auto"/>
        <w:outlineLvl w:val="9"/>
        <w:rPr>
          <w:rFonts w:hint="eastAsia" w:ascii="仿宋_GB2312" w:hAnsi="仿宋_GB2312" w:eastAsia="仿宋_GB2312" w:cs="仿宋_GB2312"/>
          <w:b/>
          <w:bCs w:val="0"/>
          <w:i w:val="0"/>
          <w:caps w:val="0"/>
          <w:color w:val="000000"/>
          <w:spacing w:val="0"/>
          <w:kern w:val="0"/>
          <w:sz w:val="32"/>
          <w:szCs w:val="32"/>
          <w:lang w:val="en-US" w:eastAsia="zh-CN" w:bidi="ar"/>
        </w:rPr>
      </w:pPr>
    </w:p>
    <w:p w14:paraId="6521AF81">
      <w:pPr>
        <w:keepNext w:val="0"/>
        <w:keepLines w:val="0"/>
        <w:pageBreakBefore w:val="0"/>
        <w:shd w:val="clear" w:color="auto" w:fill="FFFFFF"/>
        <w:kinsoku/>
        <w:wordWrap/>
        <w:overflowPunct/>
        <w:topLinePunct w:val="0"/>
        <w:autoSpaceDE/>
        <w:autoSpaceDN/>
        <w:bidi w:val="0"/>
        <w:adjustRightInd/>
        <w:snapToGrid/>
        <w:spacing w:beforeAutospacing="0" w:line="560" w:lineRule="exact"/>
        <w:ind w:left="0" w:leftChars="0" w:right="0" w:rightChars="0" w:firstLine="48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根据《中华人民共和国政府信息公开条例》（以下简称“条例”）有关规定和省、市、区政府办公厅（室）的有关要求，特向社会公布2020年度我镇政府信息公开年度报告。全文由总体情况、主动公开政府信息情况、政府信息依申请公开办理情况、因政府信息公开申请行政复议、提起行政诉讼的情况、政府信息公开工作存在的主要问题及改进措施、需要说明的其他事项与附表等六部分组成。本报告中所列数据的统计期限自2020年1月1日起，至2020年12月31日止，本报告的电子版可在“龙岩市永定区人民政府”门户网中“政府信息公开专栏”查看。永定区坎市镇党政办联系方式（地址：永定区坎市镇人民政府，邮编：364102，电话：5662321，传真：5662273）</w:t>
      </w:r>
    </w:p>
    <w:p w14:paraId="6C3F083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bCs/>
          <w:sz w:val="32"/>
          <w:szCs w:val="32"/>
          <w:lang w:val="en-US" w:eastAsia="zh-CN"/>
        </w:rPr>
      </w:pPr>
      <w:r>
        <w:rPr>
          <w:rStyle w:val="8"/>
          <w:rFonts w:hint="eastAsia" w:ascii="黑体" w:hAnsi="黑体" w:eastAsia="黑体" w:cs="黑体"/>
          <w:b w:val="0"/>
          <w:color w:val="000000"/>
          <w:sz w:val="32"/>
          <w:szCs w:val="32"/>
        </w:rPr>
        <w:t>一、</w:t>
      </w:r>
      <w:r>
        <w:rPr>
          <w:rStyle w:val="8"/>
          <w:rFonts w:hint="eastAsia" w:ascii="黑体" w:hAnsi="黑体" w:eastAsia="黑体" w:cs="黑体"/>
          <w:b w:val="0"/>
          <w:color w:val="000000"/>
          <w:sz w:val="32"/>
          <w:szCs w:val="32"/>
          <w:lang w:eastAsia="zh-CN"/>
        </w:rPr>
        <w:t>总体情况</w:t>
      </w:r>
    </w:p>
    <w:p w14:paraId="5B23BC9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我镇高度重视信息公开工作，通过信息公开，增强镇政府和站所、村工作的透明度，提高行政效率，自觉接受社会的监督，提高依法行政水平，进一步转变政府职能。通过信息公开，可以消除群众误解，赢得群众支持，维护政府形象，有利于推动全镇各项事业健康发展，为打造有温度的幸福坎市提供有效保障。</w:t>
      </w:r>
    </w:p>
    <w:p w14:paraId="1B7E4F7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bCs/>
          <w:sz w:val="32"/>
          <w:szCs w:val="32"/>
          <w:lang w:val="en-US" w:eastAsia="zh-CN"/>
        </w:rPr>
        <w:t>（一）政务公开要点落实情况</w:t>
      </w:r>
    </w:p>
    <w:p w14:paraId="7365AC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加强政策解读，主动引导预期</w:t>
      </w:r>
    </w:p>
    <w:p w14:paraId="53667E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b w:val="0"/>
          <w:bCs w:val="0"/>
          <w:sz w:val="32"/>
          <w:szCs w:val="32"/>
          <w:lang w:eastAsia="zh-CN"/>
        </w:rPr>
      </w:pPr>
      <w:r>
        <w:rPr>
          <w:rStyle w:val="8"/>
          <w:rFonts w:hint="eastAsia" w:ascii="仿宋" w:hAnsi="仿宋" w:eastAsia="仿宋" w:cs="仿宋"/>
          <w:b/>
          <w:bCs/>
          <w:sz w:val="32"/>
          <w:szCs w:val="32"/>
          <w:lang w:eastAsia="zh-CN"/>
        </w:rPr>
        <w:t>一是</w:t>
      </w:r>
      <w:r>
        <w:rPr>
          <w:rStyle w:val="8"/>
          <w:rFonts w:hint="eastAsia" w:ascii="仿宋" w:hAnsi="仿宋" w:eastAsia="仿宋" w:cs="仿宋"/>
          <w:b/>
          <w:bCs/>
          <w:sz w:val="32"/>
          <w:szCs w:val="32"/>
        </w:rPr>
        <w:t>深入解读重要政策措施。</w:t>
      </w:r>
      <w:r>
        <w:rPr>
          <w:rFonts w:hint="eastAsia" w:ascii="仿宋" w:hAnsi="仿宋" w:eastAsia="仿宋" w:cs="仿宋"/>
          <w:color w:val="000000"/>
          <w:sz w:val="32"/>
          <w:szCs w:val="32"/>
          <w:lang w:eastAsia="zh-CN"/>
        </w:rPr>
        <w:t>采取全覆盖方式大力宣传重要政策措施，主动解疑释惑，及时准确传递权威信息，让群众及时了解最新的政策措施动态。</w:t>
      </w:r>
      <w:r>
        <w:rPr>
          <w:rFonts w:hint="eastAsia" w:ascii="仿宋" w:hAnsi="仿宋" w:eastAsia="仿宋" w:cs="仿宋"/>
          <w:color w:val="000000"/>
          <w:sz w:val="32"/>
          <w:szCs w:val="32"/>
        </w:rPr>
        <w:t>通过悬挂宣传条幅、张贴宣传海报、LED屏、召开会议、开展集中宣传活动、入户宣传、</w:t>
      </w:r>
      <w:r>
        <w:rPr>
          <w:rFonts w:hint="eastAsia" w:ascii="仿宋" w:hAnsi="仿宋" w:eastAsia="仿宋" w:cs="仿宋"/>
          <w:color w:val="000000"/>
          <w:sz w:val="32"/>
          <w:szCs w:val="32"/>
          <w:lang w:eastAsia="zh-CN"/>
        </w:rPr>
        <w:t>村务</w:t>
      </w:r>
      <w:r>
        <w:rPr>
          <w:rFonts w:hint="eastAsia" w:ascii="仿宋" w:hAnsi="仿宋" w:eastAsia="仿宋" w:cs="仿宋"/>
          <w:color w:val="000000"/>
          <w:sz w:val="32"/>
          <w:szCs w:val="32"/>
        </w:rPr>
        <w:t>公告栏等形式，进一步强化政策解读，加深群众对政策的了解</w:t>
      </w:r>
      <w:r>
        <w:rPr>
          <w:rFonts w:hint="eastAsia" w:ascii="仿宋" w:hAnsi="仿宋" w:eastAsia="仿宋" w:cs="仿宋"/>
          <w:color w:val="000000"/>
          <w:sz w:val="32"/>
          <w:szCs w:val="32"/>
          <w:lang w:eastAsia="zh-CN"/>
        </w:rPr>
        <w:t>；加强政府门户网站坎市镇专题网页和政府信息公开专栏内容保障，持续更新坎市镇人民政府官方微信公众号内容，及时对外公布并解读政策措施。</w:t>
      </w:r>
    </w:p>
    <w:p w14:paraId="1E99DE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rPr>
      </w:pPr>
      <w:r>
        <w:rPr>
          <w:rStyle w:val="8"/>
          <w:rFonts w:hint="eastAsia" w:ascii="仿宋" w:hAnsi="仿宋" w:eastAsia="仿宋" w:cs="仿宋"/>
          <w:b/>
          <w:bCs/>
          <w:kern w:val="0"/>
          <w:sz w:val="32"/>
          <w:szCs w:val="32"/>
          <w:lang w:val="en-US" w:eastAsia="zh-CN" w:bidi="ar"/>
        </w:rPr>
        <w:t>二是积极回应社会</w:t>
      </w:r>
      <w:r>
        <w:rPr>
          <w:rStyle w:val="8"/>
          <w:rFonts w:hint="eastAsia" w:ascii="仿宋" w:hAnsi="仿宋" w:eastAsia="仿宋" w:cs="仿宋"/>
          <w:b/>
          <w:bCs/>
          <w:color w:val="auto"/>
          <w:kern w:val="0"/>
          <w:sz w:val="32"/>
          <w:szCs w:val="32"/>
          <w:lang w:val="en-US" w:eastAsia="zh-CN" w:bidi="ar"/>
        </w:rPr>
        <w:t>关切问题。</w:t>
      </w:r>
      <w:r>
        <w:rPr>
          <w:rFonts w:hint="eastAsia" w:ascii="仿宋" w:hAnsi="仿宋" w:eastAsia="仿宋" w:cs="仿宋"/>
          <w:color w:val="auto"/>
          <w:sz w:val="32"/>
          <w:szCs w:val="32"/>
          <w:lang w:val="en-US" w:eastAsia="zh-CN"/>
        </w:rPr>
        <w:t>通过不同渠道</w:t>
      </w:r>
      <w:r>
        <w:rPr>
          <w:rFonts w:hint="eastAsia" w:ascii="仿宋" w:hAnsi="仿宋" w:eastAsia="仿宋" w:cs="仿宋"/>
          <w:color w:val="auto"/>
          <w:sz w:val="32"/>
          <w:szCs w:val="32"/>
        </w:rPr>
        <w:t>积极回应人民群众关切的</w:t>
      </w:r>
      <w:r>
        <w:rPr>
          <w:rFonts w:hint="eastAsia" w:ascii="仿宋" w:hAnsi="仿宋" w:eastAsia="仿宋" w:cs="仿宋"/>
          <w:color w:val="auto"/>
          <w:sz w:val="32"/>
          <w:szCs w:val="32"/>
          <w:lang w:eastAsia="zh-CN"/>
        </w:rPr>
        <w:t>疫情期间返永问题、复工复产</w:t>
      </w:r>
      <w:r>
        <w:rPr>
          <w:rFonts w:hint="eastAsia" w:ascii="仿宋" w:hAnsi="仿宋" w:eastAsia="仿宋" w:cs="仿宋"/>
          <w:color w:val="auto"/>
          <w:sz w:val="32"/>
          <w:szCs w:val="32"/>
        </w:rPr>
        <w:t>问题</w:t>
      </w:r>
      <w:r>
        <w:rPr>
          <w:rFonts w:hint="eastAsia" w:ascii="仿宋" w:hAnsi="仿宋" w:eastAsia="仿宋" w:cs="仿宋"/>
          <w:color w:val="auto"/>
          <w:sz w:val="32"/>
          <w:szCs w:val="32"/>
          <w:lang w:eastAsia="zh-CN"/>
        </w:rPr>
        <w:t>、举办聚集性活动问题、其他民生问题等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w:t>
      </w:r>
      <w:r>
        <w:rPr>
          <w:rFonts w:hint="eastAsia" w:ascii="仿宋" w:hAnsi="仿宋" w:eastAsia="仿宋" w:cs="仿宋"/>
          <w:color w:val="auto"/>
          <w:sz w:val="32"/>
          <w:szCs w:val="32"/>
        </w:rPr>
        <w:t>便民服务中心解答群众疑问</w:t>
      </w:r>
      <w:r>
        <w:rPr>
          <w:rFonts w:hint="eastAsia" w:ascii="仿宋" w:hAnsi="仿宋" w:eastAsia="仿宋" w:cs="仿宋"/>
          <w:color w:val="auto"/>
          <w:sz w:val="32"/>
          <w:szCs w:val="32"/>
          <w:lang w:val="en-US" w:eastAsia="zh-CN"/>
        </w:rPr>
        <w:t>375</w:t>
      </w:r>
      <w:r>
        <w:rPr>
          <w:rFonts w:hint="eastAsia" w:ascii="仿宋" w:hAnsi="仿宋" w:eastAsia="仿宋" w:cs="仿宋"/>
          <w:color w:val="auto"/>
          <w:sz w:val="32"/>
          <w:szCs w:val="32"/>
        </w:rPr>
        <w:t>条，电话回应群众疑问</w:t>
      </w:r>
      <w:r>
        <w:rPr>
          <w:rFonts w:hint="eastAsia" w:ascii="仿宋" w:hAnsi="仿宋" w:eastAsia="仿宋" w:cs="仿宋"/>
          <w:color w:val="auto"/>
          <w:sz w:val="32"/>
          <w:szCs w:val="32"/>
          <w:lang w:val="en-US" w:eastAsia="zh-CN"/>
        </w:rPr>
        <w:t>622</w:t>
      </w:r>
      <w:r>
        <w:rPr>
          <w:rFonts w:hint="eastAsia" w:ascii="仿宋" w:hAnsi="仿宋" w:eastAsia="仿宋" w:cs="仿宋"/>
          <w:color w:val="auto"/>
          <w:sz w:val="32"/>
          <w:szCs w:val="32"/>
        </w:rPr>
        <w:t>条，通过12345便民服务平台回应群众疑问</w:t>
      </w:r>
      <w:r>
        <w:rPr>
          <w:rFonts w:hint="eastAsia" w:ascii="仿宋" w:hAnsi="仿宋" w:eastAsia="仿宋" w:cs="仿宋"/>
          <w:color w:val="auto"/>
          <w:sz w:val="32"/>
          <w:szCs w:val="32"/>
          <w:lang w:val="en-US" w:eastAsia="zh-CN"/>
        </w:rPr>
        <w:t>377</w:t>
      </w:r>
      <w:r>
        <w:rPr>
          <w:rFonts w:hint="eastAsia" w:ascii="仿宋" w:hAnsi="仿宋" w:eastAsia="仿宋" w:cs="仿宋"/>
          <w:color w:val="auto"/>
          <w:sz w:val="32"/>
          <w:szCs w:val="32"/>
        </w:rPr>
        <w:t>条，回复率达100%。</w:t>
      </w:r>
    </w:p>
    <w:p w14:paraId="03588A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b w:val="0"/>
          <w:bCs w:val="0"/>
          <w:sz w:val="32"/>
          <w:szCs w:val="32"/>
        </w:rPr>
      </w:pPr>
      <w:r>
        <w:rPr>
          <w:rStyle w:val="8"/>
          <w:rFonts w:hint="eastAsia" w:ascii="仿宋" w:hAnsi="仿宋" w:eastAsia="仿宋" w:cs="仿宋"/>
          <w:b/>
          <w:bCs/>
          <w:color w:val="auto"/>
          <w:sz w:val="32"/>
          <w:szCs w:val="32"/>
          <w:lang w:eastAsia="zh-CN"/>
        </w:rPr>
        <w:t>三是强化解读回应效果。</w:t>
      </w:r>
      <w:r>
        <w:rPr>
          <w:rFonts w:hint="eastAsia" w:ascii="仿宋" w:hAnsi="仿宋" w:eastAsia="仿宋" w:cs="仿宋"/>
          <w:color w:val="auto"/>
          <w:sz w:val="32"/>
          <w:szCs w:val="32"/>
          <w:lang w:eastAsia="zh-CN"/>
        </w:rPr>
        <w:t>镇</w:t>
      </w:r>
      <w:r>
        <w:rPr>
          <w:rFonts w:hint="eastAsia" w:ascii="仿宋" w:hAnsi="仿宋" w:eastAsia="仿宋" w:cs="仿宋"/>
          <w:color w:val="auto"/>
          <w:sz w:val="32"/>
          <w:szCs w:val="32"/>
        </w:rPr>
        <w:t>政府把</w:t>
      </w:r>
      <w:r>
        <w:rPr>
          <w:rFonts w:hint="eastAsia" w:ascii="仿宋" w:hAnsi="仿宋" w:eastAsia="仿宋" w:cs="仿宋"/>
          <w:color w:val="000000"/>
          <w:sz w:val="32"/>
          <w:szCs w:val="32"/>
        </w:rPr>
        <w:t>政府信息公开特别是重点工作公开作为常态性工作，常抓不懈。在对涉及面广、社会关注度高或专业性较强的重要政策法规，运用图片、图解</w:t>
      </w:r>
      <w:r>
        <w:rPr>
          <w:rFonts w:hint="eastAsia" w:ascii="仿宋" w:hAnsi="仿宋" w:eastAsia="仿宋" w:cs="仿宋"/>
          <w:color w:val="000000"/>
          <w:sz w:val="32"/>
          <w:szCs w:val="32"/>
          <w:lang w:eastAsia="zh-CN"/>
        </w:rPr>
        <w:t>、漫画</w:t>
      </w:r>
      <w:r>
        <w:rPr>
          <w:rFonts w:hint="eastAsia" w:ascii="仿宋" w:hAnsi="仿宋" w:eastAsia="仿宋" w:cs="仿宋"/>
          <w:color w:val="000000"/>
          <w:sz w:val="32"/>
          <w:szCs w:val="32"/>
        </w:rPr>
        <w:t>等可视化方式，增强政策解读效果；对涉及本地区的重要政务舆情、重大突发事件等热点问题，依法按程序第一时间予以回应，</w:t>
      </w:r>
      <w:r>
        <w:rPr>
          <w:rFonts w:hint="eastAsia" w:ascii="仿宋" w:hAnsi="仿宋" w:eastAsia="仿宋" w:cs="仿宋"/>
          <w:color w:val="000000"/>
          <w:sz w:val="32"/>
          <w:szCs w:val="32"/>
          <w:lang w:eastAsia="zh-CN"/>
        </w:rPr>
        <w:t>做到</w:t>
      </w:r>
      <w:r>
        <w:rPr>
          <w:rFonts w:hint="eastAsia" w:ascii="仿宋" w:hAnsi="仿宋" w:eastAsia="仿宋" w:cs="仿宋"/>
          <w:color w:val="000000"/>
          <w:sz w:val="32"/>
          <w:szCs w:val="32"/>
        </w:rPr>
        <w:t>实事求是、有的放矢，为群众提供</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客观、可感、可信的信息。</w:t>
      </w:r>
    </w:p>
    <w:p w14:paraId="2D5DE2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b/>
          <w:bCs/>
          <w:sz w:val="32"/>
          <w:szCs w:val="32"/>
        </w:rPr>
      </w:pPr>
      <w:r>
        <w:rPr>
          <w:rStyle w:val="8"/>
          <w:rFonts w:hint="eastAsia" w:ascii="仿宋" w:hAnsi="仿宋" w:eastAsia="仿宋" w:cs="仿宋"/>
          <w:b/>
          <w:bCs/>
          <w:sz w:val="32"/>
          <w:szCs w:val="32"/>
          <w:lang w:val="en-US" w:eastAsia="zh-CN"/>
        </w:rPr>
        <w:t>2.</w:t>
      </w:r>
      <w:r>
        <w:rPr>
          <w:rFonts w:hint="eastAsia" w:ascii="仿宋" w:hAnsi="仿宋" w:eastAsia="仿宋" w:cs="仿宋"/>
          <w:b/>
          <w:bCs/>
          <w:sz w:val="32"/>
          <w:szCs w:val="32"/>
        </w:rPr>
        <w:t>聚焦重点领域，促进政策落实</w:t>
      </w:r>
    </w:p>
    <w:p w14:paraId="2D0C1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 w:hAnsi="仿宋" w:eastAsia="仿宋" w:cs="仿宋"/>
          <w:b w:val="0"/>
          <w:bCs w:val="0"/>
          <w:sz w:val="32"/>
          <w:szCs w:val="32"/>
          <w:lang w:eastAsia="zh-CN"/>
        </w:rPr>
      </w:pPr>
      <w:r>
        <w:rPr>
          <w:rStyle w:val="8"/>
          <w:rFonts w:hint="eastAsia" w:ascii="仿宋" w:hAnsi="仿宋" w:eastAsia="仿宋" w:cs="仿宋"/>
          <w:b w:val="0"/>
          <w:bCs w:val="0"/>
          <w:sz w:val="32"/>
          <w:szCs w:val="32"/>
          <w:lang w:eastAsia="zh-CN"/>
        </w:rPr>
        <w:t>切实加强组织领导，在符合保密要求的前提下，深化公开内容，对机构和人事等重大决策、行政执法情况、“双随机、一公开”检查情况及时进行公开，推动信息公开工作的全面发展。</w:t>
      </w:r>
    </w:p>
    <w:p w14:paraId="6C4CD7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lang w:eastAsia="zh-CN"/>
        </w:rPr>
      </w:pPr>
      <w:r>
        <w:rPr>
          <w:rStyle w:val="8"/>
          <w:rFonts w:hint="eastAsia" w:ascii="仿宋" w:hAnsi="仿宋" w:eastAsia="仿宋" w:cs="仿宋"/>
          <w:b/>
          <w:bCs/>
          <w:sz w:val="32"/>
          <w:szCs w:val="32"/>
          <w:lang w:eastAsia="zh-CN"/>
        </w:rPr>
        <w:t>一是加强政府职能信息公开。</w:t>
      </w:r>
      <w:r>
        <w:rPr>
          <w:rFonts w:hint="eastAsia" w:ascii="仿宋" w:hAnsi="仿宋" w:eastAsia="仿宋" w:cs="仿宋"/>
          <w:sz w:val="32"/>
          <w:szCs w:val="32"/>
        </w:rPr>
        <w:t>对镇村党政领导分工和各职能部门的主要工作职责、办事程序、收费标准、服务承诺及责任人的情况</w:t>
      </w:r>
      <w:r>
        <w:rPr>
          <w:rFonts w:hint="eastAsia" w:ascii="仿宋" w:hAnsi="仿宋" w:eastAsia="仿宋" w:cs="仿宋"/>
          <w:sz w:val="32"/>
          <w:szCs w:val="32"/>
          <w:lang w:eastAsia="zh-CN"/>
        </w:rPr>
        <w:t>进行公开。</w:t>
      </w:r>
    </w:p>
    <w:p w14:paraId="0537AE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lang w:eastAsia="zh-CN"/>
        </w:rPr>
        <w:t>二是加强政府决策部署公开。</w:t>
      </w:r>
      <w:r>
        <w:rPr>
          <w:rFonts w:hint="eastAsia" w:ascii="仿宋" w:hAnsi="仿宋" w:eastAsia="仿宋" w:cs="仿宋"/>
          <w:sz w:val="32"/>
          <w:szCs w:val="32"/>
          <w:lang w:eastAsia="zh-CN"/>
        </w:rPr>
        <w:t>对</w:t>
      </w:r>
      <w:r>
        <w:rPr>
          <w:rFonts w:hint="eastAsia" w:ascii="仿宋" w:hAnsi="仿宋" w:eastAsia="仿宋" w:cs="仿宋"/>
          <w:sz w:val="32"/>
          <w:szCs w:val="32"/>
        </w:rPr>
        <w:t>全</w:t>
      </w:r>
      <w:r>
        <w:rPr>
          <w:rFonts w:hint="eastAsia" w:ascii="仿宋" w:hAnsi="仿宋" w:eastAsia="仿宋" w:cs="仿宋"/>
          <w:sz w:val="32"/>
          <w:szCs w:val="32"/>
          <w:lang w:eastAsia="zh-CN"/>
        </w:rPr>
        <w:t>镇</w:t>
      </w:r>
      <w:r>
        <w:rPr>
          <w:rFonts w:hint="eastAsia" w:ascii="仿宋" w:hAnsi="仿宋" w:eastAsia="仿宋" w:cs="仿宋"/>
          <w:sz w:val="32"/>
          <w:szCs w:val="32"/>
        </w:rPr>
        <w:t>工作会议、</w:t>
      </w:r>
      <w:r>
        <w:rPr>
          <w:rFonts w:hint="eastAsia" w:ascii="仿宋" w:hAnsi="仿宋" w:eastAsia="仿宋" w:cs="仿宋"/>
          <w:sz w:val="32"/>
          <w:szCs w:val="32"/>
          <w:lang w:eastAsia="zh-CN"/>
        </w:rPr>
        <w:t>镇党政会议</w:t>
      </w:r>
      <w:r>
        <w:rPr>
          <w:rFonts w:hint="eastAsia" w:ascii="仿宋" w:hAnsi="仿宋" w:eastAsia="仿宋" w:cs="仿宋"/>
          <w:sz w:val="32"/>
          <w:szCs w:val="32"/>
        </w:rPr>
        <w:t>、专题会议作出的决策部署，通过政府门户网站将议定事项分解后的职责任务、落实情况及时公开。</w:t>
      </w:r>
    </w:p>
    <w:p w14:paraId="26353C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b w:val="0"/>
          <w:bCs w:val="0"/>
          <w:sz w:val="32"/>
          <w:szCs w:val="32"/>
        </w:rPr>
      </w:pPr>
      <w:r>
        <w:rPr>
          <w:rStyle w:val="8"/>
          <w:rFonts w:hint="eastAsia" w:ascii="仿宋" w:hAnsi="仿宋" w:eastAsia="仿宋" w:cs="仿宋"/>
          <w:b/>
          <w:bCs/>
          <w:sz w:val="32"/>
          <w:szCs w:val="32"/>
          <w:lang w:eastAsia="zh-CN"/>
        </w:rPr>
        <w:t>三是加强执行落实情况公开。</w:t>
      </w:r>
      <w:r>
        <w:rPr>
          <w:rStyle w:val="8"/>
          <w:rFonts w:hint="eastAsia" w:ascii="仿宋" w:hAnsi="仿宋" w:eastAsia="仿宋" w:cs="仿宋"/>
          <w:b w:val="0"/>
          <w:bCs w:val="0"/>
          <w:sz w:val="32"/>
          <w:szCs w:val="32"/>
          <w:lang w:eastAsia="zh-CN"/>
        </w:rPr>
        <w:t>紧围绕政府重点工作和社会关注热点，主动向社会公示重大项目落地投产情况，公开各项为民办实事的民生工程进度，如安宁桥扩建，秀山学堂桥危桥改造</w:t>
      </w:r>
      <w:r>
        <w:rPr>
          <w:rFonts w:hint="eastAsia" w:ascii="仿宋" w:hAnsi="仿宋" w:eastAsia="仿宋" w:cs="仿宋"/>
          <w:sz w:val="32"/>
          <w:szCs w:val="32"/>
          <w:lang w:eastAsia="zh-CN"/>
        </w:rPr>
        <w:t>。</w:t>
      </w:r>
    </w:p>
    <w:p w14:paraId="2EE3A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b w:val="0"/>
          <w:bCs w:val="0"/>
          <w:sz w:val="32"/>
          <w:szCs w:val="32"/>
        </w:rPr>
      </w:pPr>
      <w:r>
        <w:rPr>
          <w:rStyle w:val="8"/>
          <w:rFonts w:hint="eastAsia" w:ascii="仿宋" w:hAnsi="仿宋" w:eastAsia="仿宋" w:cs="仿宋"/>
          <w:b/>
          <w:bCs/>
          <w:sz w:val="32"/>
          <w:szCs w:val="32"/>
          <w:lang w:eastAsia="zh-CN"/>
        </w:rPr>
        <w:t>四是加强行政执法信息公开。</w:t>
      </w:r>
      <w:r>
        <w:rPr>
          <w:rStyle w:val="8"/>
          <w:rFonts w:hint="eastAsia" w:ascii="仿宋" w:hAnsi="仿宋" w:eastAsia="仿宋" w:cs="仿宋"/>
          <w:b w:val="0"/>
          <w:bCs w:val="0"/>
          <w:sz w:val="32"/>
          <w:szCs w:val="32"/>
        </w:rPr>
        <w:t>按照“谁执法谁公示”的原则，对所办理的涉及管理对象切身利益的行政执法事项，通过门户网站及政务新媒体、办事大厅公示栏、服务窗口等将办事依据、办事制度、办事程序和办事结果向社会公开。</w:t>
      </w:r>
      <w:r>
        <w:rPr>
          <w:rStyle w:val="8"/>
          <w:rFonts w:hint="eastAsia" w:ascii="仿宋" w:hAnsi="仿宋" w:eastAsia="仿宋" w:cs="仿宋"/>
          <w:b w:val="0"/>
          <w:bCs w:val="0"/>
          <w:sz w:val="32"/>
          <w:szCs w:val="32"/>
          <w:lang w:eastAsia="zh-CN"/>
        </w:rPr>
        <w:t>对</w:t>
      </w:r>
      <w:r>
        <w:rPr>
          <w:rStyle w:val="8"/>
          <w:rFonts w:hint="eastAsia" w:ascii="仿宋" w:hAnsi="仿宋" w:eastAsia="仿宋" w:cs="仿宋"/>
          <w:b w:val="0"/>
          <w:bCs w:val="0"/>
          <w:sz w:val="32"/>
          <w:szCs w:val="32"/>
        </w:rPr>
        <w:t>涉及国家秘密、商业秘密、个人隐私等不宜公开的信息，依法确需公开的，要作适当处理后公开。</w:t>
      </w:r>
    </w:p>
    <w:p w14:paraId="0EAD448B">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30" w:firstLineChars="196"/>
        <w:textAlignment w:val="auto"/>
        <w:rPr>
          <w:rFonts w:hint="eastAsia" w:ascii="仿宋" w:hAnsi="仿宋" w:eastAsia="仿宋" w:cs="仿宋"/>
          <w:b w:val="0"/>
          <w:bCs w:val="0"/>
          <w:sz w:val="32"/>
          <w:szCs w:val="32"/>
        </w:rPr>
      </w:pPr>
      <w:r>
        <w:rPr>
          <w:rStyle w:val="8"/>
          <w:rFonts w:hint="eastAsia" w:ascii="仿宋" w:hAnsi="仿宋" w:eastAsia="仿宋" w:cs="仿宋"/>
          <w:b/>
          <w:bCs/>
          <w:kern w:val="0"/>
          <w:sz w:val="32"/>
          <w:szCs w:val="32"/>
          <w:lang w:val="en-US" w:eastAsia="zh-CN" w:bidi="ar"/>
        </w:rPr>
        <w:t>五是加强三大攻坚战信息公开。</w:t>
      </w:r>
      <w:r>
        <w:rPr>
          <w:rStyle w:val="8"/>
          <w:rFonts w:hint="eastAsia" w:ascii="仿宋" w:hAnsi="仿宋" w:eastAsia="仿宋" w:cs="仿宋"/>
          <w:b w:val="0"/>
          <w:bCs w:val="0"/>
          <w:kern w:val="0"/>
          <w:sz w:val="32"/>
          <w:szCs w:val="32"/>
          <w:lang w:val="en-US" w:eastAsia="zh-CN" w:bidi="ar"/>
        </w:rPr>
        <w:t>多渠道、经常性地对</w:t>
      </w:r>
      <w:r>
        <w:rPr>
          <w:rFonts w:hint="eastAsia" w:ascii="仿宋" w:hAnsi="仿宋" w:eastAsia="仿宋" w:cs="仿宋"/>
          <w:sz w:val="32"/>
          <w:szCs w:val="32"/>
          <w:lang w:eastAsia="zh-CN"/>
        </w:rPr>
        <w:t>我镇脱贫攻坚、污染防治、安全生产、生猪养殖业等重点信息进行及时发布，让群众知道身边惠从何来。</w:t>
      </w:r>
    </w:p>
    <w:p w14:paraId="7D319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b w:val="0"/>
          <w:bCs w:val="0"/>
          <w:sz w:val="32"/>
          <w:szCs w:val="32"/>
        </w:rPr>
      </w:pPr>
      <w:r>
        <w:rPr>
          <w:rStyle w:val="8"/>
          <w:rFonts w:hint="eastAsia" w:ascii="仿宋" w:hAnsi="仿宋" w:eastAsia="仿宋" w:cs="仿宋"/>
          <w:b/>
          <w:bCs/>
          <w:sz w:val="32"/>
          <w:szCs w:val="32"/>
          <w:lang w:eastAsia="zh-CN"/>
        </w:rPr>
        <w:t>六是加强“放管服”改革信息公开。</w:t>
      </w:r>
      <w:r>
        <w:rPr>
          <w:rFonts w:hint="eastAsia" w:ascii="仿宋" w:hAnsi="仿宋" w:eastAsia="仿宋" w:cs="仿宋"/>
          <w:sz w:val="32"/>
          <w:szCs w:val="32"/>
          <w:lang w:eastAsia="zh-CN"/>
        </w:rPr>
        <w:t>对已完成清理的权责清单及动态调整情况，除涉密事项外，都及时向社会公开。让公众了解放权情况、监督权力行使、评价运行效果。</w:t>
      </w:r>
    </w:p>
    <w:p w14:paraId="474FE0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 w:hAnsi="仿宋" w:eastAsia="仿宋" w:cs="仿宋"/>
          <w:b w:val="0"/>
          <w:bCs w:val="0"/>
          <w:sz w:val="32"/>
          <w:szCs w:val="32"/>
          <w:lang w:eastAsia="zh-CN"/>
        </w:rPr>
      </w:pPr>
      <w:r>
        <w:rPr>
          <w:rStyle w:val="8"/>
          <w:rFonts w:hint="eastAsia" w:ascii="仿宋" w:hAnsi="仿宋" w:eastAsia="仿宋" w:cs="仿宋"/>
          <w:b/>
          <w:bCs/>
          <w:sz w:val="32"/>
          <w:szCs w:val="32"/>
          <w:lang w:eastAsia="zh-CN"/>
        </w:rPr>
        <w:t>七是加强重点民生领域信息公开。</w:t>
      </w:r>
      <w:r>
        <w:rPr>
          <w:rStyle w:val="8"/>
          <w:rFonts w:hint="eastAsia" w:ascii="仿宋" w:hAnsi="仿宋" w:eastAsia="仿宋" w:cs="仿宋"/>
          <w:b w:val="0"/>
          <w:bCs w:val="0"/>
          <w:sz w:val="32"/>
          <w:szCs w:val="32"/>
          <w:lang w:eastAsia="zh-CN"/>
        </w:rPr>
        <w:t>围绕突出做好就业、教育、医疗、养老、征地等领域的信息公开工作。及时公开促进就业创业的政策措施、就业供求信息；及时公开义务教育招生方案、招生范围、招生程序、报名条件；及时公开养老服务信息重点公开国家和地方层面推进养老服务发展的法律法规、方针政策以及老年人补贴、养老服务扶持政策清单等业务信息；及时公开项目征迁进展以及未来规划等相关信息。积极推动民生领域信息公开，让老百姓明明白白知晓身边的信息。</w:t>
      </w:r>
    </w:p>
    <w:p w14:paraId="623569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Style w:val="8"/>
          <w:rFonts w:hint="eastAsia" w:ascii="仿宋" w:hAnsi="仿宋" w:eastAsia="仿宋" w:cs="仿宋"/>
          <w:b w:val="0"/>
          <w:bCs w:val="0"/>
          <w:sz w:val="32"/>
          <w:szCs w:val="32"/>
          <w:lang w:eastAsia="zh-CN"/>
        </w:rPr>
      </w:pPr>
      <w:r>
        <w:rPr>
          <w:rStyle w:val="8"/>
          <w:rFonts w:hint="eastAsia" w:ascii="仿宋" w:hAnsi="仿宋" w:eastAsia="仿宋" w:cs="仿宋"/>
          <w:b/>
          <w:bCs/>
          <w:sz w:val="32"/>
          <w:szCs w:val="32"/>
          <w:lang w:eastAsia="zh-CN"/>
        </w:rPr>
        <w:t>八是加强</w:t>
      </w:r>
      <w:r>
        <w:rPr>
          <w:rStyle w:val="8"/>
          <w:rFonts w:hint="eastAsia" w:ascii="仿宋" w:hAnsi="仿宋" w:eastAsia="仿宋" w:cs="仿宋"/>
          <w:b/>
          <w:bCs/>
          <w:sz w:val="32"/>
          <w:szCs w:val="32"/>
        </w:rPr>
        <w:t>财政信息公开</w:t>
      </w:r>
      <w:r>
        <w:rPr>
          <w:rStyle w:val="8"/>
          <w:rFonts w:hint="eastAsia" w:ascii="仿宋" w:hAnsi="仿宋" w:eastAsia="仿宋" w:cs="仿宋"/>
          <w:b/>
          <w:bCs/>
          <w:sz w:val="32"/>
          <w:szCs w:val="32"/>
          <w:lang w:eastAsia="zh-CN"/>
        </w:rPr>
        <w:t>。</w:t>
      </w:r>
      <w:r>
        <w:rPr>
          <w:rStyle w:val="8"/>
          <w:rFonts w:hint="eastAsia" w:ascii="仿宋" w:hAnsi="仿宋" w:eastAsia="仿宋" w:cs="仿宋"/>
          <w:b w:val="0"/>
          <w:bCs w:val="0"/>
          <w:sz w:val="32"/>
          <w:szCs w:val="32"/>
          <w:lang w:eastAsia="zh-CN"/>
        </w:rPr>
        <w:t>根据本镇工作实际情况，不断规范、创新信息公开的内容和方式，通过建立通畅的信息公开和反馈渠道，完善信息公开和反馈的工作机制，加强对财政预算、财政决算、三公经费支出情况和专项资金使用情况等信息的公开。积极发挥镇便民服务大厅和镇政府宣传栏的作用，对各项惠农补贴及财政支付的资金及时公示公开。积极开展惠民政策宣传和财政宣传手册发放工作。在便民服务大厅内设有专人收集、登记群众意见并进行整理，上报镇财政所，有效地拓宽了群众监督渠道。</w:t>
      </w:r>
    </w:p>
    <w:p w14:paraId="417ED6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Style w:val="8"/>
          <w:rFonts w:hint="eastAsia" w:ascii="仿宋" w:hAnsi="仿宋" w:eastAsia="仿宋" w:cs="仿宋"/>
          <w:b/>
          <w:bCs/>
          <w:sz w:val="32"/>
          <w:szCs w:val="32"/>
        </w:rPr>
      </w:pPr>
      <w:r>
        <w:rPr>
          <w:rStyle w:val="8"/>
          <w:rFonts w:hint="eastAsia" w:ascii="仿宋" w:hAnsi="仿宋" w:eastAsia="仿宋" w:cs="仿宋"/>
          <w:b/>
          <w:bCs/>
          <w:sz w:val="32"/>
          <w:szCs w:val="32"/>
          <w:lang w:val="en-US" w:eastAsia="zh-CN"/>
        </w:rPr>
        <w:t>3.</w:t>
      </w:r>
      <w:r>
        <w:rPr>
          <w:rFonts w:hint="eastAsia" w:ascii="仿宋" w:hAnsi="仿宋" w:eastAsia="仿宋" w:cs="仿宋"/>
          <w:b/>
          <w:bCs/>
          <w:sz w:val="32"/>
          <w:szCs w:val="32"/>
        </w:rPr>
        <w:t>规范公开平台，优化服务功能</w:t>
      </w:r>
    </w:p>
    <w:p w14:paraId="2FA88C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rPr>
      </w:pPr>
      <w:r>
        <w:rPr>
          <w:rStyle w:val="8"/>
          <w:rFonts w:hint="eastAsia" w:ascii="仿宋" w:hAnsi="仿宋" w:eastAsia="仿宋" w:cs="仿宋"/>
          <w:b/>
          <w:bCs/>
          <w:sz w:val="32"/>
          <w:szCs w:val="32"/>
          <w:lang w:eastAsia="zh-CN"/>
        </w:rPr>
        <w:t>一是</w:t>
      </w:r>
      <w:r>
        <w:rPr>
          <w:rStyle w:val="8"/>
          <w:rFonts w:hint="eastAsia" w:ascii="仿宋" w:hAnsi="仿宋" w:eastAsia="仿宋" w:cs="仿宋"/>
          <w:b/>
          <w:bCs/>
          <w:sz w:val="32"/>
          <w:szCs w:val="32"/>
        </w:rPr>
        <w:t>推进政府网站优质规范发展。</w:t>
      </w:r>
      <w:r>
        <w:rPr>
          <w:rFonts w:hint="eastAsia" w:ascii="仿宋" w:hAnsi="仿宋" w:eastAsia="仿宋" w:cs="仿宋"/>
          <w:color w:val="000000"/>
          <w:sz w:val="32"/>
          <w:szCs w:val="32"/>
        </w:rPr>
        <w:t>依托政府门户网站建立政府信息公开专栏（网页），持续更新维护政府信息公开指南、目录、依申请公开、</w:t>
      </w:r>
      <w:r>
        <w:rPr>
          <w:rFonts w:hint="eastAsia" w:ascii="仿宋" w:hAnsi="仿宋" w:eastAsia="仿宋" w:cs="仿宋"/>
          <w:color w:val="000000"/>
          <w:sz w:val="32"/>
          <w:szCs w:val="32"/>
          <w:lang w:eastAsia="zh-CN"/>
        </w:rPr>
        <w:t>公开年报、公开</w:t>
      </w:r>
      <w:r>
        <w:rPr>
          <w:rFonts w:hint="eastAsia" w:ascii="仿宋" w:hAnsi="仿宋" w:eastAsia="仿宋" w:cs="仿宋"/>
          <w:color w:val="000000"/>
          <w:sz w:val="32"/>
          <w:szCs w:val="32"/>
        </w:rPr>
        <w:t>意见箱等二级栏目。</w:t>
      </w:r>
      <w:r>
        <w:rPr>
          <w:rFonts w:hint="eastAsia" w:ascii="仿宋" w:hAnsi="仿宋" w:eastAsia="仿宋" w:cs="仿宋"/>
          <w:color w:val="000000"/>
          <w:sz w:val="32"/>
          <w:szCs w:val="32"/>
          <w:lang w:eastAsia="zh-CN"/>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年，全</w:t>
      </w:r>
      <w:r>
        <w:rPr>
          <w:rFonts w:hint="eastAsia" w:ascii="仿宋" w:hAnsi="仿宋" w:eastAsia="仿宋" w:cs="仿宋"/>
          <w:color w:val="000000"/>
          <w:sz w:val="32"/>
          <w:szCs w:val="32"/>
          <w:lang w:eastAsia="zh-CN"/>
        </w:rPr>
        <w:t>镇</w:t>
      </w:r>
      <w:r>
        <w:rPr>
          <w:rFonts w:hint="eastAsia" w:ascii="仿宋" w:hAnsi="仿宋" w:eastAsia="仿宋" w:cs="仿宋"/>
          <w:color w:val="000000"/>
          <w:sz w:val="32"/>
          <w:szCs w:val="32"/>
        </w:rPr>
        <w:t>通过专栏（网页）公开政府信息</w:t>
      </w:r>
      <w:r>
        <w:rPr>
          <w:rFonts w:hint="eastAsia" w:ascii="仿宋" w:hAnsi="仿宋" w:eastAsia="仿宋" w:cs="仿宋"/>
          <w:color w:val="000000"/>
          <w:kern w:val="2"/>
          <w:sz w:val="32"/>
          <w:szCs w:val="32"/>
          <w:lang w:val="en-US" w:eastAsia="zh-CN" w:bidi="ar-SA"/>
        </w:rPr>
        <w:t>9</w:t>
      </w:r>
      <w:r>
        <w:rPr>
          <w:rFonts w:hint="eastAsia" w:ascii="仿宋" w:hAnsi="仿宋" w:eastAsia="仿宋" w:cs="仿宋"/>
          <w:color w:val="000000"/>
          <w:sz w:val="32"/>
          <w:szCs w:val="32"/>
        </w:rPr>
        <w:t>条</w:t>
      </w:r>
      <w:r>
        <w:rPr>
          <w:rFonts w:hint="eastAsia" w:ascii="仿宋" w:hAnsi="仿宋" w:eastAsia="仿宋" w:cs="仿宋"/>
          <w:color w:val="000000"/>
          <w:sz w:val="32"/>
          <w:szCs w:val="32"/>
          <w:lang w:eastAsia="zh-CN"/>
        </w:rPr>
        <w:t>。</w:t>
      </w:r>
      <w:r>
        <w:rPr>
          <w:rFonts w:hint="eastAsia" w:ascii="仿宋" w:hAnsi="仿宋" w:eastAsia="仿宋" w:cs="仿宋"/>
          <w:sz w:val="32"/>
          <w:szCs w:val="32"/>
        </w:rPr>
        <w:t> </w:t>
      </w:r>
    </w:p>
    <w:p w14:paraId="427496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b w:val="0"/>
          <w:bCs w:val="0"/>
          <w:sz w:val="32"/>
          <w:szCs w:val="32"/>
          <w:lang w:eastAsia="zh-CN"/>
        </w:rPr>
      </w:pPr>
      <w:r>
        <w:rPr>
          <w:rStyle w:val="8"/>
          <w:rFonts w:hint="eastAsia" w:ascii="仿宋" w:hAnsi="仿宋" w:eastAsia="仿宋" w:cs="仿宋"/>
          <w:b/>
          <w:bCs/>
          <w:kern w:val="0"/>
          <w:sz w:val="32"/>
          <w:szCs w:val="32"/>
          <w:lang w:val="en-US" w:eastAsia="zh-CN" w:bidi="ar-SA"/>
        </w:rPr>
        <w:t>二是推进政务新媒体健康有序发展。</w:t>
      </w:r>
      <w:r>
        <w:rPr>
          <w:rStyle w:val="8"/>
          <w:rFonts w:hint="eastAsia" w:ascii="仿宋" w:hAnsi="仿宋" w:eastAsia="仿宋" w:cs="仿宋"/>
          <w:b w:val="0"/>
          <w:bCs w:val="0"/>
          <w:sz w:val="32"/>
          <w:szCs w:val="32"/>
          <w:lang w:val="en-US" w:eastAsia="zh-CN"/>
        </w:rPr>
        <w:t>2020年，通过</w:t>
      </w:r>
      <w:r>
        <w:rPr>
          <w:rFonts w:hint="eastAsia" w:ascii="仿宋" w:hAnsi="仿宋" w:eastAsia="仿宋" w:cs="仿宋"/>
          <w:sz w:val="32"/>
          <w:szCs w:val="32"/>
          <w:lang w:val="en-US" w:eastAsia="zh-CN"/>
        </w:rPr>
        <w:t>微信公众号发布信息100余条。</w:t>
      </w:r>
    </w:p>
    <w:p w14:paraId="7DFDC2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8"/>
          <w:rFonts w:hint="eastAsia" w:ascii="仿宋" w:hAnsi="仿宋" w:eastAsia="仿宋" w:cs="仿宋"/>
          <w:b w:val="0"/>
          <w:bCs w:val="0"/>
          <w:sz w:val="32"/>
          <w:szCs w:val="32"/>
        </w:rPr>
      </w:pPr>
      <w:r>
        <w:rPr>
          <w:rStyle w:val="8"/>
          <w:rFonts w:hint="eastAsia" w:ascii="仿宋" w:hAnsi="仿宋" w:eastAsia="仿宋" w:cs="仿宋"/>
          <w:b/>
          <w:bCs/>
          <w:kern w:val="0"/>
          <w:sz w:val="32"/>
          <w:szCs w:val="32"/>
          <w:lang w:val="en-US" w:eastAsia="zh-CN" w:bidi="ar-SA"/>
        </w:rPr>
        <w:t>三是加快推动政务服务线上线下的深度融合。</w:t>
      </w:r>
      <w:r>
        <w:rPr>
          <w:rFonts w:hint="eastAsia" w:ascii="仿宋" w:hAnsi="仿宋" w:eastAsia="仿宋" w:cs="仿宋"/>
          <w:b w:val="0"/>
          <w:bCs w:val="0"/>
          <w:sz w:val="32"/>
          <w:szCs w:val="32"/>
          <w:lang w:val="en-US" w:eastAsia="zh-CN"/>
        </w:rPr>
        <w:t>疫情期间，通过电话咨询、微信咨询等方式，推行不见面审批。推动便民服务中心深化“最多跑一趟”改革，持续推进“最多跑一趟”改革工作，在便民服务大厅公开审批服务事项、办事指南和办事流程，切实方便了企业和群众办事，做到了审批更简、监管更强、服务更优</w:t>
      </w:r>
      <w:r>
        <w:rPr>
          <w:rFonts w:hint="eastAsia" w:ascii="仿宋" w:hAnsi="仿宋" w:eastAsia="仿宋" w:cs="仿宋"/>
          <w:sz w:val="32"/>
          <w:szCs w:val="32"/>
        </w:rPr>
        <w:t>。</w:t>
      </w:r>
    </w:p>
    <w:p w14:paraId="4316A5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健全制度规范，提升公开质量</w:t>
      </w:r>
    </w:p>
    <w:p w14:paraId="32852F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Style w:val="8"/>
          <w:rFonts w:hint="eastAsia" w:ascii="仿宋" w:hAnsi="仿宋" w:eastAsia="仿宋" w:cs="仿宋"/>
          <w:b/>
          <w:bCs/>
          <w:sz w:val="32"/>
          <w:szCs w:val="32"/>
          <w:lang w:eastAsia="zh-CN"/>
        </w:rPr>
        <w:t>一是</w:t>
      </w:r>
      <w:r>
        <w:rPr>
          <w:rStyle w:val="8"/>
          <w:rFonts w:hint="eastAsia" w:ascii="仿宋" w:hAnsi="仿宋" w:eastAsia="仿宋" w:cs="仿宋"/>
          <w:b w:val="0"/>
          <w:bCs w:val="0"/>
          <w:sz w:val="32"/>
          <w:szCs w:val="32"/>
        </w:rPr>
        <w:t>强化组织领导。镇政府高度重视政府信息公开工作，把政府信息公开工作纳入年度工作计划，摆上重要议事日程，为确保政府信息公开工作落到实处，成立了由镇政府主要领导任组长、分管领导任副组长、各办公室负责人为成员的政府信息公开工作领导小组，明确工作职责及分工，设有政府信息公开业务员1名，负责日常政府信息公开目录系统的运维工作，并及时修编政府信息公开指南、更新主动公开目录和2020年政府信息公开工作年度报告，确保不出现空白栏目。形成</w:t>
      </w:r>
      <w:r>
        <w:rPr>
          <w:rStyle w:val="8"/>
          <w:rFonts w:hint="eastAsia" w:ascii="仿宋" w:hAnsi="仿宋" w:eastAsia="仿宋" w:cs="仿宋"/>
          <w:b w:val="0"/>
          <w:bCs w:val="0"/>
          <w:sz w:val="32"/>
          <w:szCs w:val="32"/>
          <w:lang w:eastAsia="zh-CN"/>
        </w:rPr>
        <w:t>了</w:t>
      </w:r>
      <w:r>
        <w:rPr>
          <w:rStyle w:val="8"/>
          <w:rFonts w:hint="eastAsia" w:ascii="仿宋" w:hAnsi="仿宋" w:eastAsia="仿宋" w:cs="仿宋"/>
          <w:b w:val="0"/>
          <w:bCs w:val="0"/>
          <w:sz w:val="32"/>
          <w:szCs w:val="32"/>
        </w:rPr>
        <w:t>“主要领导亲自抓，分管领导具体抓，职能部门抓落实”的工作格局，促进了政府信息公开工作的有效落实</w:t>
      </w:r>
      <w:r>
        <w:rPr>
          <w:rFonts w:hint="eastAsia" w:ascii="仿宋" w:hAnsi="仿宋" w:eastAsia="仿宋" w:cs="仿宋"/>
          <w:sz w:val="32"/>
          <w:szCs w:val="32"/>
        </w:rPr>
        <w:t>。</w:t>
      </w:r>
    </w:p>
    <w:p w14:paraId="117AE4B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62"/>
        <w:jc w:val="left"/>
        <w:textAlignment w:val="auto"/>
        <w:rPr>
          <w:rFonts w:hint="eastAsia" w:ascii="仿宋" w:hAnsi="仿宋" w:eastAsia="仿宋" w:cs="仿宋"/>
          <w:sz w:val="32"/>
          <w:szCs w:val="32"/>
        </w:rPr>
      </w:pPr>
      <w:r>
        <w:rPr>
          <w:rStyle w:val="8"/>
          <w:rFonts w:hint="eastAsia" w:ascii="仿宋" w:hAnsi="仿宋" w:eastAsia="仿宋" w:cs="仿宋"/>
          <w:b/>
          <w:bCs/>
          <w:sz w:val="32"/>
          <w:szCs w:val="32"/>
          <w:lang w:eastAsia="zh-CN"/>
        </w:rPr>
        <w:t>二是</w:t>
      </w:r>
      <w:r>
        <w:rPr>
          <w:rStyle w:val="8"/>
          <w:rFonts w:hint="eastAsia" w:ascii="仿宋" w:hAnsi="仿宋" w:eastAsia="仿宋" w:cs="仿宋"/>
          <w:b w:val="0"/>
          <w:bCs w:val="0"/>
          <w:sz w:val="32"/>
          <w:szCs w:val="32"/>
          <w:lang w:eastAsia="zh-CN"/>
        </w:rPr>
        <w:t>加强对全镇干部</w:t>
      </w:r>
      <w:r>
        <w:rPr>
          <w:rStyle w:val="8"/>
          <w:rFonts w:hint="eastAsia" w:ascii="仿宋" w:hAnsi="仿宋" w:eastAsia="仿宋" w:cs="仿宋"/>
          <w:b w:val="0"/>
          <w:bCs w:val="0"/>
          <w:sz w:val="32"/>
          <w:szCs w:val="32"/>
        </w:rPr>
        <w:t>的</w:t>
      </w:r>
      <w:r>
        <w:rPr>
          <w:rStyle w:val="8"/>
          <w:rFonts w:hint="eastAsia" w:ascii="仿宋" w:hAnsi="仿宋" w:eastAsia="仿宋" w:cs="仿宋"/>
          <w:b w:val="0"/>
          <w:bCs w:val="0"/>
          <w:sz w:val="32"/>
          <w:szCs w:val="32"/>
          <w:lang w:eastAsia="zh-CN"/>
        </w:rPr>
        <w:t>信息公开业务</w:t>
      </w:r>
      <w:r>
        <w:rPr>
          <w:rStyle w:val="8"/>
          <w:rFonts w:hint="eastAsia" w:ascii="仿宋" w:hAnsi="仿宋" w:eastAsia="仿宋" w:cs="仿宋"/>
          <w:b w:val="0"/>
          <w:bCs w:val="0"/>
          <w:sz w:val="32"/>
          <w:szCs w:val="32"/>
        </w:rPr>
        <w:t>培训，切实增强从业人员的公开意识和能力，确保</w:t>
      </w:r>
      <w:r>
        <w:rPr>
          <w:rStyle w:val="8"/>
          <w:rFonts w:hint="eastAsia" w:ascii="仿宋" w:hAnsi="仿宋" w:eastAsia="仿宋" w:cs="仿宋"/>
          <w:b w:val="0"/>
          <w:bCs w:val="0"/>
          <w:sz w:val="32"/>
          <w:szCs w:val="32"/>
          <w:lang w:eastAsia="zh-CN"/>
        </w:rPr>
        <w:t>各类信息公开</w:t>
      </w:r>
      <w:r>
        <w:rPr>
          <w:rStyle w:val="8"/>
          <w:rFonts w:hint="eastAsia" w:ascii="仿宋" w:hAnsi="仿宋" w:eastAsia="仿宋" w:cs="仿宋"/>
          <w:b w:val="0"/>
          <w:bCs w:val="0"/>
          <w:sz w:val="32"/>
          <w:szCs w:val="32"/>
        </w:rPr>
        <w:t>有序衔接、平稳过渡。立足实际积极探索创新，强化信息化手段运用，</w:t>
      </w:r>
      <w:r>
        <w:rPr>
          <w:rStyle w:val="8"/>
          <w:rFonts w:hint="eastAsia" w:ascii="仿宋" w:hAnsi="仿宋" w:eastAsia="仿宋" w:cs="仿宋"/>
          <w:b w:val="0"/>
          <w:bCs w:val="0"/>
          <w:sz w:val="32"/>
          <w:szCs w:val="32"/>
          <w:lang w:eastAsia="zh-CN"/>
        </w:rPr>
        <w:t>通过与周边乡镇的交流学习，及时</w:t>
      </w:r>
      <w:r>
        <w:rPr>
          <w:rStyle w:val="8"/>
          <w:rFonts w:hint="eastAsia" w:ascii="仿宋" w:hAnsi="仿宋" w:eastAsia="仿宋" w:cs="仿宋"/>
          <w:b w:val="0"/>
          <w:bCs w:val="0"/>
          <w:sz w:val="32"/>
          <w:szCs w:val="32"/>
        </w:rPr>
        <w:t>总结复制推广好的经验和做法，全面提升政务公开水平。</w:t>
      </w:r>
    </w:p>
    <w:p w14:paraId="6015260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Style w:val="8"/>
          <w:rFonts w:hint="eastAsia" w:ascii="仿宋" w:hAnsi="仿宋" w:eastAsia="仿宋" w:cs="仿宋"/>
          <w:b/>
          <w:bCs/>
          <w:sz w:val="32"/>
          <w:szCs w:val="32"/>
          <w:lang w:val="en-US" w:eastAsia="zh-CN"/>
        </w:rPr>
      </w:pPr>
      <w:r>
        <w:rPr>
          <w:rStyle w:val="8"/>
          <w:rFonts w:hint="eastAsia" w:ascii="仿宋" w:hAnsi="仿宋" w:eastAsia="仿宋" w:cs="仿宋"/>
          <w:b/>
          <w:bCs/>
          <w:sz w:val="32"/>
          <w:szCs w:val="32"/>
          <w:lang w:eastAsia="zh-CN"/>
        </w:rPr>
        <w:t>（二）</w:t>
      </w:r>
      <w:r>
        <w:rPr>
          <w:rStyle w:val="8"/>
          <w:rFonts w:hint="eastAsia" w:ascii="仿宋" w:hAnsi="仿宋" w:eastAsia="仿宋" w:cs="仿宋"/>
          <w:b/>
          <w:bCs/>
          <w:sz w:val="32"/>
          <w:szCs w:val="32"/>
        </w:rPr>
        <w:t>主动公开情况</w:t>
      </w:r>
      <w:r>
        <w:rPr>
          <w:rStyle w:val="8"/>
          <w:rFonts w:hint="eastAsia" w:ascii="仿宋" w:hAnsi="仿宋" w:eastAsia="仿宋" w:cs="仿宋"/>
          <w:b/>
          <w:bCs/>
          <w:sz w:val="32"/>
          <w:szCs w:val="32"/>
          <w:lang w:eastAsia="zh-CN"/>
        </w:rPr>
        <w:t>。</w:t>
      </w:r>
      <w:r>
        <w:rPr>
          <w:rFonts w:hint="eastAsia" w:ascii="仿宋" w:hAnsi="仿宋" w:eastAsia="仿宋" w:cs="仿宋"/>
          <w:color w:val="000000"/>
          <w:kern w:val="2"/>
          <w:sz w:val="32"/>
          <w:szCs w:val="32"/>
          <w:lang w:val="en-US" w:eastAsia="zh-CN" w:bidi="ar-SA"/>
        </w:rPr>
        <w:t>2020年，坎市镇人民政府信息总数为9条，其中：主动公开9条，占100%。</w:t>
      </w:r>
    </w:p>
    <w:p w14:paraId="325CAF5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Style w:val="8"/>
          <w:rFonts w:hint="eastAsia" w:ascii="仿宋" w:hAnsi="仿宋" w:eastAsia="仿宋" w:cs="仿宋"/>
          <w:b/>
          <w:bCs/>
          <w:sz w:val="32"/>
          <w:szCs w:val="32"/>
          <w:lang w:eastAsia="zh-CN"/>
        </w:rPr>
      </w:pPr>
      <w:r>
        <w:rPr>
          <w:rStyle w:val="8"/>
          <w:rFonts w:hint="eastAsia" w:ascii="仿宋" w:hAnsi="仿宋" w:eastAsia="仿宋" w:cs="仿宋"/>
          <w:b/>
          <w:bCs/>
          <w:sz w:val="32"/>
          <w:szCs w:val="32"/>
          <w:lang w:eastAsia="zh-CN"/>
        </w:rPr>
        <w:t>（三）</w:t>
      </w:r>
      <w:r>
        <w:rPr>
          <w:rStyle w:val="8"/>
          <w:rFonts w:hint="eastAsia" w:ascii="仿宋" w:hAnsi="仿宋" w:eastAsia="仿宋" w:cs="仿宋"/>
          <w:b/>
          <w:bCs/>
          <w:sz w:val="32"/>
          <w:szCs w:val="32"/>
        </w:rPr>
        <w:t>依申请公开情况</w:t>
      </w:r>
      <w:r>
        <w:rPr>
          <w:rStyle w:val="8"/>
          <w:rFonts w:hint="eastAsia" w:ascii="仿宋" w:hAnsi="仿宋" w:eastAsia="仿宋" w:cs="仿宋"/>
          <w:b/>
          <w:bCs/>
          <w:sz w:val="32"/>
          <w:szCs w:val="32"/>
          <w:lang w:eastAsia="zh-CN"/>
        </w:rPr>
        <w:t>。</w:t>
      </w:r>
    </w:p>
    <w:p w14:paraId="417BD70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1.受理依申请公开政府信息情况。我镇暂时没有此类情况。</w:t>
      </w:r>
    </w:p>
    <w:p w14:paraId="3CEA4D2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2.依申请公开政府信息的办理情况。我镇暂时没有此类情况。</w:t>
      </w:r>
    </w:p>
    <w:p w14:paraId="0A5FFAE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3.“不予公开”的政府信息情况。我镇暂时没有此类情况。</w:t>
      </w:r>
    </w:p>
    <w:p w14:paraId="3E92597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8"/>
          <w:rFonts w:hint="eastAsia" w:ascii="仿宋" w:hAnsi="仿宋" w:eastAsia="仿宋" w:cs="仿宋"/>
          <w:b/>
          <w:bCs/>
          <w:sz w:val="32"/>
          <w:szCs w:val="32"/>
          <w:lang w:eastAsia="zh-CN"/>
        </w:rPr>
      </w:pPr>
      <w:r>
        <w:rPr>
          <w:rFonts w:hint="eastAsia" w:ascii="仿宋" w:hAnsi="仿宋" w:eastAsia="仿宋" w:cs="仿宋"/>
          <w:color w:val="000000"/>
          <w:kern w:val="2"/>
          <w:sz w:val="32"/>
          <w:szCs w:val="32"/>
          <w:lang w:val="en-US" w:eastAsia="zh-CN" w:bidi="ar-SA"/>
        </w:rPr>
        <w:t>2020年度我镇没有因政府信息公开被申请行政复议、被提起行政诉讼和接受行政申诉、举报案例。</w:t>
      </w:r>
    </w:p>
    <w:p w14:paraId="17E3F8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 w:hAnsi="仿宋" w:eastAsia="仿宋" w:cs="仿宋"/>
          <w:b/>
          <w:bCs/>
          <w:sz w:val="32"/>
          <w:szCs w:val="32"/>
          <w:lang w:eastAsia="zh-CN"/>
        </w:rPr>
      </w:pPr>
      <w:r>
        <w:rPr>
          <w:rStyle w:val="8"/>
          <w:rFonts w:hint="eastAsia" w:ascii="仿宋" w:hAnsi="仿宋" w:eastAsia="仿宋" w:cs="仿宋"/>
          <w:b/>
          <w:bCs/>
          <w:sz w:val="32"/>
          <w:szCs w:val="32"/>
          <w:lang w:eastAsia="zh-CN"/>
        </w:rPr>
        <w:t>（四）</w:t>
      </w:r>
      <w:r>
        <w:rPr>
          <w:rStyle w:val="8"/>
          <w:rFonts w:hint="eastAsia" w:ascii="仿宋" w:hAnsi="仿宋" w:eastAsia="仿宋" w:cs="仿宋"/>
          <w:b/>
          <w:bCs/>
          <w:sz w:val="32"/>
          <w:szCs w:val="32"/>
        </w:rPr>
        <w:t>政府信息管理情况</w:t>
      </w:r>
      <w:r>
        <w:rPr>
          <w:rStyle w:val="8"/>
          <w:rFonts w:hint="eastAsia" w:ascii="仿宋" w:hAnsi="仿宋" w:eastAsia="仿宋" w:cs="仿宋"/>
          <w:b/>
          <w:bCs/>
          <w:sz w:val="32"/>
          <w:szCs w:val="32"/>
          <w:lang w:eastAsia="zh-CN"/>
        </w:rPr>
        <w:t>。</w:t>
      </w:r>
      <w:r>
        <w:rPr>
          <w:rFonts w:hint="eastAsia" w:ascii="仿宋" w:hAnsi="仿宋" w:eastAsia="仿宋" w:cs="仿宋"/>
          <w:b w:val="0"/>
          <w:bCs w:val="0"/>
          <w:i w:val="0"/>
          <w:caps w:val="0"/>
          <w:color w:val="auto"/>
          <w:spacing w:val="0"/>
          <w:sz w:val="32"/>
          <w:szCs w:val="32"/>
          <w:shd w:val="clear" w:fill="FFFFFF"/>
        </w:rPr>
        <w:t>20</w:t>
      </w:r>
      <w:r>
        <w:rPr>
          <w:rFonts w:hint="eastAsia" w:ascii="仿宋" w:hAnsi="仿宋" w:eastAsia="仿宋" w:cs="仿宋"/>
          <w:b w:val="0"/>
          <w:bCs w:val="0"/>
          <w:i w:val="0"/>
          <w:caps w:val="0"/>
          <w:color w:val="auto"/>
          <w:spacing w:val="0"/>
          <w:sz w:val="32"/>
          <w:szCs w:val="32"/>
          <w:shd w:val="clear" w:fill="FFFFFF"/>
          <w:lang w:val="en-US" w:eastAsia="zh-CN"/>
        </w:rPr>
        <w:t>20</w:t>
      </w:r>
      <w:r>
        <w:rPr>
          <w:rFonts w:hint="eastAsia" w:ascii="仿宋" w:hAnsi="仿宋" w:eastAsia="仿宋" w:cs="仿宋"/>
          <w:b w:val="0"/>
          <w:bCs w:val="0"/>
          <w:i w:val="0"/>
          <w:caps w:val="0"/>
          <w:color w:val="auto"/>
          <w:spacing w:val="0"/>
          <w:sz w:val="32"/>
          <w:szCs w:val="32"/>
          <w:shd w:val="clear" w:fill="FFFFFF"/>
        </w:rPr>
        <w:t>年度主动公开的政府信息主要包括</w:t>
      </w:r>
      <w:r>
        <w:rPr>
          <w:rFonts w:hint="eastAsia" w:ascii="仿宋" w:hAnsi="仿宋" w:eastAsia="仿宋" w:cs="仿宋"/>
          <w:b w:val="0"/>
          <w:bCs w:val="0"/>
          <w:i w:val="0"/>
          <w:caps w:val="0"/>
          <w:color w:val="auto"/>
          <w:spacing w:val="0"/>
          <w:sz w:val="32"/>
          <w:szCs w:val="32"/>
          <w:shd w:val="clear" w:fill="FFFFFF"/>
          <w:lang w:eastAsia="zh-CN"/>
        </w:rPr>
        <w:t>部门职能</w:t>
      </w:r>
      <w:r>
        <w:rPr>
          <w:rFonts w:hint="eastAsia" w:ascii="仿宋" w:hAnsi="仿宋" w:eastAsia="仿宋" w:cs="仿宋"/>
          <w:b w:val="0"/>
          <w:bCs w:val="0"/>
          <w:i w:val="0"/>
          <w:caps w:val="0"/>
          <w:color w:val="auto"/>
          <w:spacing w:val="0"/>
          <w:sz w:val="32"/>
          <w:szCs w:val="32"/>
          <w:shd w:val="clear" w:fill="FFFFFF"/>
        </w:rPr>
        <w:t>概况信息、公开指南、法规文件、</w:t>
      </w:r>
      <w:r>
        <w:rPr>
          <w:rFonts w:hint="eastAsia" w:ascii="仿宋" w:hAnsi="仿宋" w:eastAsia="仿宋" w:cs="仿宋"/>
          <w:b w:val="0"/>
          <w:bCs w:val="0"/>
          <w:i w:val="0"/>
          <w:caps w:val="0"/>
          <w:color w:val="auto"/>
          <w:spacing w:val="0"/>
          <w:sz w:val="32"/>
          <w:szCs w:val="32"/>
          <w:shd w:val="clear" w:fill="FFFFFF"/>
          <w:lang w:eastAsia="zh-CN"/>
        </w:rPr>
        <w:t>上级传达的精神、项目</w:t>
      </w:r>
      <w:r>
        <w:rPr>
          <w:rFonts w:hint="eastAsia" w:ascii="仿宋" w:hAnsi="仿宋" w:eastAsia="仿宋" w:cs="仿宋"/>
          <w:b w:val="0"/>
          <w:bCs w:val="0"/>
          <w:i w:val="0"/>
          <w:caps w:val="0"/>
          <w:color w:val="auto"/>
          <w:spacing w:val="0"/>
          <w:sz w:val="32"/>
          <w:szCs w:val="32"/>
          <w:shd w:val="clear" w:fill="FFFFFF"/>
        </w:rPr>
        <w:t>发展规划、</w:t>
      </w:r>
      <w:r>
        <w:rPr>
          <w:rFonts w:hint="eastAsia" w:ascii="仿宋" w:hAnsi="仿宋" w:eastAsia="仿宋" w:cs="仿宋"/>
          <w:b w:val="0"/>
          <w:bCs w:val="0"/>
          <w:i w:val="0"/>
          <w:caps w:val="0"/>
          <w:color w:val="auto"/>
          <w:spacing w:val="0"/>
          <w:sz w:val="32"/>
          <w:szCs w:val="32"/>
          <w:shd w:val="clear" w:fill="FFFFFF"/>
          <w:lang w:eastAsia="zh-CN"/>
        </w:rPr>
        <w:t>政府</w:t>
      </w:r>
      <w:r>
        <w:rPr>
          <w:rFonts w:hint="eastAsia" w:ascii="仿宋" w:hAnsi="仿宋" w:eastAsia="仿宋" w:cs="仿宋"/>
          <w:b w:val="0"/>
          <w:bCs w:val="0"/>
          <w:i w:val="0"/>
          <w:caps w:val="0"/>
          <w:color w:val="auto"/>
          <w:spacing w:val="0"/>
          <w:sz w:val="32"/>
          <w:szCs w:val="32"/>
          <w:shd w:val="clear" w:fill="FFFFFF"/>
        </w:rPr>
        <w:t>工作动态、</w:t>
      </w:r>
      <w:r>
        <w:rPr>
          <w:rFonts w:hint="eastAsia" w:ascii="仿宋" w:hAnsi="仿宋" w:eastAsia="仿宋" w:cs="仿宋"/>
          <w:b w:val="0"/>
          <w:bCs w:val="0"/>
          <w:i w:val="0"/>
          <w:caps w:val="0"/>
          <w:color w:val="auto"/>
          <w:spacing w:val="0"/>
          <w:sz w:val="32"/>
          <w:szCs w:val="32"/>
          <w:shd w:val="clear" w:fill="FFFFFF"/>
          <w:lang w:eastAsia="zh-CN"/>
        </w:rPr>
        <w:t>民生</w:t>
      </w:r>
      <w:r>
        <w:rPr>
          <w:rFonts w:hint="eastAsia" w:ascii="仿宋" w:hAnsi="仿宋" w:eastAsia="仿宋" w:cs="仿宋"/>
          <w:b w:val="0"/>
          <w:bCs w:val="0"/>
          <w:i w:val="0"/>
          <w:caps w:val="0"/>
          <w:color w:val="auto"/>
          <w:spacing w:val="0"/>
          <w:sz w:val="32"/>
          <w:szCs w:val="32"/>
          <w:shd w:val="clear" w:fill="FFFFFF"/>
        </w:rPr>
        <w:t>公共服务、行政执法</w:t>
      </w:r>
      <w:r>
        <w:rPr>
          <w:rFonts w:hint="eastAsia" w:ascii="仿宋" w:hAnsi="仿宋" w:eastAsia="仿宋" w:cs="仿宋"/>
          <w:b w:val="0"/>
          <w:bCs w:val="0"/>
          <w:i w:val="0"/>
          <w:caps w:val="0"/>
          <w:color w:val="auto"/>
          <w:spacing w:val="0"/>
          <w:sz w:val="32"/>
          <w:szCs w:val="32"/>
          <w:shd w:val="clear" w:fill="FFFFFF"/>
          <w:lang w:eastAsia="zh-CN"/>
        </w:rPr>
        <w:t>情况</w:t>
      </w:r>
      <w:r>
        <w:rPr>
          <w:rFonts w:hint="eastAsia" w:ascii="仿宋" w:hAnsi="仿宋" w:eastAsia="仿宋" w:cs="仿宋"/>
          <w:b w:val="0"/>
          <w:bCs w:val="0"/>
          <w:i w:val="0"/>
          <w:caps w:val="0"/>
          <w:color w:val="auto"/>
          <w:spacing w:val="0"/>
          <w:sz w:val="32"/>
          <w:szCs w:val="32"/>
          <w:shd w:val="clear" w:fill="FFFFFF"/>
        </w:rPr>
        <w:t>等方面的内容国家有关规定应当主动公开的其他政府信息。</w:t>
      </w:r>
    </w:p>
    <w:p w14:paraId="5692C8CE">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jc w:val="left"/>
        <w:textAlignment w:val="auto"/>
        <w:rPr>
          <w:rStyle w:val="8"/>
          <w:rFonts w:hint="eastAsia" w:ascii="仿宋" w:hAnsi="仿宋" w:eastAsia="仿宋" w:cs="仿宋"/>
          <w:b/>
          <w:bCs/>
          <w:sz w:val="32"/>
          <w:szCs w:val="32"/>
          <w:lang w:eastAsia="zh-CN"/>
        </w:rPr>
      </w:pPr>
      <w:r>
        <w:rPr>
          <w:rStyle w:val="8"/>
          <w:rFonts w:hint="eastAsia" w:ascii="仿宋" w:hAnsi="仿宋" w:eastAsia="仿宋" w:cs="仿宋"/>
          <w:b/>
          <w:bCs/>
          <w:sz w:val="32"/>
          <w:szCs w:val="32"/>
          <w:lang w:eastAsia="zh-CN"/>
        </w:rPr>
        <w:t>（五）公示</w:t>
      </w:r>
      <w:r>
        <w:rPr>
          <w:rStyle w:val="8"/>
          <w:rFonts w:hint="eastAsia" w:ascii="仿宋" w:hAnsi="仿宋" w:eastAsia="仿宋" w:cs="仿宋"/>
          <w:b/>
          <w:bCs/>
          <w:sz w:val="32"/>
          <w:szCs w:val="32"/>
        </w:rPr>
        <w:t>平台</w:t>
      </w:r>
      <w:r>
        <w:rPr>
          <w:rStyle w:val="8"/>
          <w:rFonts w:hint="eastAsia" w:ascii="仿宋" w:hAnsi="仿宋" w:eastAsia="仿宋" w:cs="仿宋"/>
          <w:b/>
          <w:bCs/>
          <w:sz w:val="32"/>
          <w:szCs w:val="32"/>
          <w:lang w:eastAsia="zh-CN"/>
        </w:rPr>
        <w:t>使用</w:t>
      </w:r>
      <w:r>
        <w:rPr>
          <w:rStyle w:val="8"/>
          <w:rFonts w:hint="eastAsia" w:ascii="仿宋" w:hAnsi="仿宋" w:eastAsia="仿宋" w:cs="仿宋"/>
          <w:b/>
          <w:bCs/>
          <w:sz w:val="32"/>
          <w:szCs w:val="32"/>
        </w:rPr>
        <w:t>情况</w:t>
      </w:r>
      <w:r>
        <w:rPr>
          <w:rStyle w:val="8"/>
          <w:rFonts w:hint="eastAsia" w:ascii="仿宋" w:hAnsi="仿宋" w:eastAsia="仿宋" w:cs="仿宋"/>
          <w:b/>
          <w:bCs/>
          <w:sz w:val="32"/>
          <w:szCs w:val="32"/>
          <w:lang w:eastAsia="zh-CN"/>
        </w:rPr>
        <w:t>。</w:t>
      </w:r>
      <w:r>
        <w:rPr>
          <w:rFonts w:hint="eastAsia" w:ascii="仿宋" w:hAnsi="仿宋" w:eastAsia="仿宋" w:cs="仿宋"/>
          <w:kern w:val="2"/>
          <w:sz w:val="32"/>
          <w:szCs w:val="32"/>
          <w:lang w:val="en-US" w:eastAsia="zh-CN" w:bidi="ar-SA"/>
        </w:rPr>
        <w:t>一是公开栏、公开牌方式公开。近年来通过对各村村务公开栏进行改善升级，从而在镇、村两级公开栏每月及时公开各类涉及群众的相关信息。二是利用网络信息平台公开，如“永定区人民政府”网站、“坎市镇人民政府”微信公众号平台、12345便民服务平台等进行信息公开。三是以活动形式公开。如召开各种会议、在街设点、进村入户等。全方位构筑起全镇政务公开网络，使政务公开基本做到了家喻户晓，人人皆知，确保了我镇政务公开工作的实际成效。</w:t>
      </w:r>
    </w:p>
    <w:p w14:paraId="014CEC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 w:hAnsi="仿宋" w:eastAsia="仿宋" w:cs="仿宋"/>
          <w:b/>
          <w:bCs/>
          <w:sz w:val="32"/>
          <w:szCs w:val="32"/>
          <w:lang w:eastAsia="zh-CN"/>
        </w:rPr>
      </w:pPr>
      <w:r>
        <w:rPr>
          <w:rStyle w:val="8"/>
          <w:rFonts w:hint="eastAsia" w:ascii="仿宋" w:hAnsi="仿宋" w:eastAsia="仿宋" w:cs="仿宋"/>
          <w:b/>
          <w:bCs/>
          <w:sz w:val="32"/>
          <w:szCs w:val="32"/>
          <w:lang w:eastAsia="zh-CN"/>
        </w:rPr>
        <w:t>（六）</w:t>
      </w:r>
      <w:r>
        <w:rPr>
          <w:rStyle w:val="8"/>
          <w:rFonts w:hint="eastAsia" w:ascii="仿宋" w:hAnsi="仿宋" w:eastAsia="仿宋" w:cs="仿宋"/>
          <w:b/>
          <w:bCs/>
          <w:sz w:val="32"/>
          <w:szCs w:val="32"/>
        </w:rPr>
        <w:t>监督保障情况</w:t>
      </w:r>
      <w:r>
        <w:rPr>
          <w:rStyle w:val="8"/>
          <w:rFonts w:hint="eastAsia" w:ascii="仿宋" w:hAnsi="仿宋" w:eastAsia="仿宋" w:cs="仿宋"/>
          <w:b/>
          <w:bCs/>
          <w:sz w:val="32"/>
          <w:szCs w:val="32"/>
          <w:lang w:eastAsia="zh-CN"/>
        </w:rPr>
        <w:t>。</w:t>
      </w:r>
      <w:r>
        <w:rPr>
          <w:rFonts w:hint="eastAsia" w:ascii="仿宋" w:hAnsi="仿宋" w:eastAsia="仿宋" w:cs="仿宋"/>
          <w:color w:val="000000"/>
          <w:sz w:val="32"/>
          <w:szCs w:val="32"/>
          <w:lang w:eastAsia="zh-CN"/>
        </w:rPr>
        <w:t>畅通线上线下监督渠道，确保政府信息公开落到实处。持续加大对政务公开工作的督查力度。组织专门人员对政府信息公开相关工作开展情况进行检查，取得了良好的效果；通过召开座谈会、发放征求意见卡、电话询问等方式，充分听取社会各界对政务公开及政府工作的意见。</w:t>
      </w:r>
    </w:p>
    <w:p w14:paraId="737B9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_GB2312" w:hAnsi="仿宋_GB2312" w:eastAsia="仿宋_GB2312" w:cs="仿宋_GB2312"/>
          <w:b/>
          <w:bCs/>
          <w:sz w:val="32"/>
          <w:szCs w:val="32"/>
        </w:rPr>
      </w:pPr>
    </w:p>
    <w:p w14:paraId="507D77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_GB2312" w:hAnsi="仿宋_GB2312" w:eastAsia="仿宋_GB2312" w:cs="仿宋_GB2312"/>
          <w:b/>
          <w:bCs/>
          <w:sz w:val="32"/>
          <w:szCs w:val="32"/>
        </w:rPr>
      </w:pPr>
    </w:p>
    <w:p w14:paraId="64C1B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_GB2312" w:hAnsi="仿宋_GB2312" w:eastAsia="仿宋_GB2312" w:cs="仿宋_GB2312"/>
          <w:b/>
          <w:bCs/>
          <w:sz w:val="32"/>
          <w:szCs w:val="32"/>
        </w:rPr>
      </w:pPr>
    </w:p>
    <w:p w14:paraId="6601F5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_GB2312" w:hAnsi="仿宋_GB2312" w:eastAsia="仿宋_GB2312" w:cs="仿宋_GB2312"/>
          <w:b/>
          <w:bCs/>
          <w:sz w:val="32"/>
          <w:szCs w:val="32"/>
        </w:rPr>
      </w:pPr>
    </w:p>
    <w:p w14:paraId="5F5AD5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_GB2312" w:hAnsi="仿宋_GB2312" w:eastAsia="仿宋_GB2312" w:cs="仿宋_GB2312"/>
          <w:b/>
          <w:bCs/>
          <w:sz w:val="32"/>
          <w:szCs w:val="32"/>
        </w:rPr>
      </w:pPr>
    </w:p>
    <w:p w14:paraId="0A3D10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_GB2312" w:hAnsi="仿宋_GB2312" w:eastAsia="仿宋_GB2312" w:cs="仿宋_GB2312"/>
          <w:b/>
          <w:bCs/>
          <w:sz w:val="32"/>
          <w:szCs w:val="32"/>
        </w:rPr>
      </w:pPr>
    </w:p>
    <w:p w14:paraId="4B50A8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仿宋_GB2312" w:hAnsi="仿宋_GB2312" w:eastAsia="仿宋_GB2312" w:cs="仿宋_GB2312"/>
          <w:b/>
          <w:bCs/>
          <w:sz w:val="32"/>
          <w:szCs w:val="32"/>
        </w:rPr>
      </w:pPr>
    </w:p>
    <w:p w14:paraId="609AFB6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color w:val="auto"/>
          <w:sz w:val="32"/>
          <w:szCs w:val="32"/>
        </w:rPr>
        <w:t>二、主动公开政府信息情况</w:t>
      </w:r>
    </w:p>
    <w:tbl>
      <w:tblPr>
        <w:tblStyle w:val="4"/>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2730"/>
        <w:gridCol w:w="2053"/>
        <w:gridCol w:w="1881"/>
        <w:gridCol w:w="2197"/>
      </w:tblGrid>
      <w:tr w14:paraId="536F13A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3974" w:type="dxa"/>
            <w:gridSpan w:val="4"/>
            <w:tcBorders>
              <w:top w:val="outset" w:color="000000" w:sz="6" w:space="0"/>
              <w:left w:val="outset" w:color="000000" w:sz="6" w:space="0"/>
              <w:bottom w:val="outset" w:color="000000" w:sz="6" w:space="0"/>
              <w:right w:val="outset" w:color="000000" w:sz="6" w:space="0"/>
            </w:tcBorders>
            <w:noWrap w:val="0"/>
            <w:vAlign w:val="center"/>
          </w:tcPr>
          <w:p w14:paraId="6B751264">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第二十条第（一）项</w:t>
            </w:r>
          </w:p>
        </w:tc>
      </w:tr>
      <w:tr w14:paraId="4BA3D9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58C42F1A">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信息内容</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168C8BE4">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本年新</w:t>
            </w:r>
          </w:p>
          <w:p w14:paraId="7B31026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制作数量</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24679F5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本年新</w:t>
            </w:r>
          </w:p>
          <w:p w14:paraId="18C5361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公开数量</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7DD564E3">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对外公开总数量</w:t>
            </w:r>
          </w:p>
        </w:tc>
      </w:tr>
      <w:tr w14:paraId="1D7DBF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1E58BA2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规章</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16CD772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25DA50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04D227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r>
      <w:tr w14:paraId="5F106BC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21D3E8AB">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规范性文件</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6956FA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7A2DC89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2B6345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w:t>
            </w:r>
          </w:p>
        </w:tc>
      </w:tr>
      <w:tr w14:paraId="3A3335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3974" w:type="dxa"/>
            <w:gridSpan w:val="4"/>
            <w:tcBorders>
              <w:top w:val="outset" w:color="000000" w:sz="6" w:space="0"/>
              <w:left w:val="outset" w:color="000000" w:sz="6" w:space="0"/>
              <w:bottom w:val="outset" w:color="000000" w:sz="6" w:space="0"/>
              <w:right w:val="outset" w:color="000000" w:sz="6" w:space="0"/>
            </w:tcBorders>
            <w:noWrap w:val="0"/>
            <w:vAlign w:val="center"/>
          </w:tcPr>
          <w:p w14:paraId="13BA77CA">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第二十条第（五）项</w:t>
            </w:r>
          </w:p>
        </w:tc>
      </w:tr>
      <w:tr w14:paraId="0BD498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35BAF934">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信息内容</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57744E4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上一年项目数量</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6E7882E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本年增/减</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282D2D4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处理决定数量</w:t>
            </w:r>
          </w:p>
        </w:tc>
      </w:tr>
      <w:tr w14:paraId="4CC160A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56423C8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行政许可</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053455A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4A381C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+8</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1F627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7A5A2D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0DB5C7B1">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其他对外管理服务事项</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3F48CC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5C4EF4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+189</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29DB0AC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334</w:t>
            </w:r>
          </w:p>
        </w:tc>
      </w:tr>
      <w:tr w14:paraId="75FC9C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3974" w:type="dxa"/>
            <w:gridSpan w:val="4"/>
            <w:tcBorders>
              <w:top w:val="outset" w:color="000000" w:sz="6" w:space="0"/>
              <w:left w:val="outset" w:color="000000" w:sz="6" w:space="0"/>
              <w:bottom w:val="outset" w:color="000000" w:sz="6" w:space="0"/>
              <w:right w:val="outset" w:color="000000" w:sz="6" w:space="0"/>
            </w:tcBorders>
            <w:noWrap w:val="0"/>
            <w:vAlign w:val="center"/>
          </w:tcPr>
          <w:p w14:paraId="1DACB61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第二十条第（六）项</w:t>
            </w:r>
          </w:p>
        </w:tc>
      </w:tr>
      <w:tr w14:paraId="4D9C9D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6F2CB20F">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信息内容</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3FE35A5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上一年项目数量</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76AD5881">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本年增/减</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24DFC91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处理决定数量</w:t>
            </w:r>
          </w:p>
        </w:tc>
      </w:tr>
      <w:tr w14:paraId="30EBD2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5895F34D">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行政处罚</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384328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146AE7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+5</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385EE1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0948D9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269C20BF">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行政强制</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023AB9F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2745" w:type="dxa"/>
            <w:tcBorders>
              <w:top w:val="outset" w:color="000000" w:sz="6" w:space="0"/>
              <w:left w:val="outset" w:color="000000" w:sz="6" w:space="0"/>
              <w:bottom w:val="outset" w:color="000000" w:sz="6" w:space="0"/>
              <w:right w:val="outset" w:color="000000" w:sz="6" w:space="0"/>
            </w:tcBorders>
            <w:noWrap w:val="0"/>
            <w:vAlign w:val="center"/>
          </w:tcPr>
          <w:p w14:paraId="5F1E94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+5</w:t>
            </w:r>
          </w:p>
        </w:tc>
        <w:tc>
          <w:tcPr>
            <w:tcW w:w="3419" w:type="dxa"/>
            <w:tcBorders>
              <w:top w:val="outset" w:color="000000" w:sz="6" w:space="0"/>
              <w:left w:val="outset" w:color="000000" w:sz="6" w:space="0"/>
              <w:bottom w:val="outset" w:color="000000" w:sz="6" w:space="0"/>
              <w:right w:val="outset" w:color="000000" w:sz="6" w:space="0"/>
            </w:tcBorders>
            <w:noWrap w:val="0"/>
            <w:vAlign w:val="center"/>
          </w:tcPr>
          <w:p w14:paraId="42A3E80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37700E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3974" w:type="dxa"/>
            <w:gridSpan w:val="4"/>
            <w:tcBorders>
              <w:top w:val="outset" w:color="000000" w:sz="6" w:space="0"/>
              <w:left w:val="outset" w:color="000000" w:sz="6" w:space="0"/>
              <w:bottom w:val="outset" w:color="000000" w:sz="6" w:space="0"/>
              <w:right w:val="outset" w:color="000000" w:sz="6" w:space="0"/>
            </w:tcBorders>
            <w:noWrap w:val="0"/>
            <w:vAlign w:val="center"/>
          </w:tcPr>
          <w:p w14:paraId="6969759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第二十条第（八）项</w:t>
            </w:r>
          </w:p>
        </w:tc>
      </w:tr>
      <w:tr w14:paraId="478D2E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408B9F0E">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信息内容</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20152F1F">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上一年项目数量</w:t>
            </w:r>
          </w:p>
        </w:tc>
        <w:tc>
          <w:tcPr>
            <w:tcW w:w="6164" w:type="dxa"/>
            <w:gridSpan w:val="2"/>
            <w:tcBorders>
              <w:top w:val="outset" w:color="000000" w:sz="6" w:space="0"/>
              <w:left w:val="outset" w:color="000000" w:sz="6" w:space="0"/>
              <w:bottom w:val="outset" w:color="000000" w:sz="6" w:space="0"/>
              <w:right w:val="outset" w:color="000000" w:sz="6" w:space="0"/>
            </w:tcBorders>
            <w:noWrap w:val="0"/>
            <w:vAlign w:val="center"/>
          </w:tcPr>
          <w:p w14:paraId="6844ADEE">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本年增/减</w:t>
            </w:r>
          </w:p>
        </w:tc>
      </w:tr>
      <w:tr w14:paraId="7B6F6B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2C844955">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行政事业性收费</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501C1CC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6164" w:type="dxa"/>
            <w:gridSpan w:val="2"/>
            <w:tcBorders>
              <w:top w:val="outset" w:color="000000" w:sz="6" w:space="0"/>
              <w:left w:val="outset" w:color="000000" w:sz="6" w:space="0"/>
              <w:bottom w:val="outset" w:color="000000" w:sz="6" w:space="0"/>
              <w:right w:val="outset" w:color="000000" w:sz="6" w:space="0"/>
            </w:tcBorders>
            <w:noWrap w:val="0"/>
            <w:vAlign w:val="center"/>
          </w:tcPr>
          <w:p w14:paraId="641104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11BF02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3974" w:type="dxa"/>
            <w:gridSpan w:val="4"/>
            <w:tcBorders>
              <w:top w:val="outset" w:color="000000" w:sz="6" w:space="0"/>
              <w:left w:val="outset" w:color="000000" w:sz="6" w:space="0"/>
              <w:bottom w:val="outset" w:color="000000" w:sz="6" w:space="0"/>
              <w:right w:val="outset" w:color="000000" w:sz="6" w:space="0"/>
            </w:tcBorders>
            <w:noWrap w:val="0"/>
            <w:vAlign w:val="center"/>
          </w:tcPr>
          <w:p w14:paraId="6EBA1287">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第二十条第（九）项</w:t>
            </w:r>
          </w:p>
        </w:tc>
      </w:tr>
      <w:tr w14:paraId="719AD8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536C8CA7">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信息内容</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6BE15FB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采购项目数量</w:t>
            </w:r>
          </w:p>
        </w:tc>
        <w:tc>
          <w:tcPr>
            <w:tcW w:w="6164" w:type="dxa"/>
            <w:gridSpan w:val="2"/>
            <w:tcBorders>
              <w:top w:val="outset" w:color="000000" w:sz="6" w:space="0"/>
              <w:left w:val="outset" w:color="000000" w:sz="6" w:space="0"/>
              <w:bottom w:val="outset" w:color="000000" w:sz="6" w:space="0"/>
              <w:right w:val="outset" w:color="000000" w:sz="6" w:space="0"/>
            </w:tcBorders>
            <w:noWrap w:val="0"/>
            <w:vAlign w:val="center"/>
          </w:tcPr>
          <w:p w14:paraId="308E9E07">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采购总金额</w:t>
            </w:r>
          </w:p>
        </w:tc>
      </w:tr>
      <w:tr w14:paraId="2C73FE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491" w:type="dxa"/>
            <w:tcBorders>
              <w:top w:val="outset" w:color="000000" w:sz="6" w:space="0"/>
              <w:left w:val="outset" w:color="000000" w:sz="6" w:space="0"/>
              <w:bottom w:val="outset" w:color="000000" w:sz="6" w:space="0"/>
              <w:right w:val="outset" w:color="000000" w:sz="6" w:space="0"/>
            </w:tcBorders>
            <w:noWrap w:val="0"/>
            <w:vAlign w:val="center"/>
          </w:tcPr>
          <w:p w14:paraId="1A0B2EDD">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政府集中采购</w:t>
            </w:r>
          </w:p>
        </w:tc>
        <w:tc>
          <w:tcPr>
            <w:tcW w:w="3319" w:type="dxa"/>
            <w:tcBorders>
              <w:top w:val="outset" w:color="000000" w:sz="6" w:space="0"/>
              <w:left w:val="outset" w:color="000000" w:sz="6" w:space="0"/>
              <w:bottom w:val="outset" w:color="000000" w:sz="6" w:space="0"/>
              <w:right w:val="outset" w:color="000000" w:sz="6" w:space="0"/>
            </w:tcBorders>
            <w:noWrap w:val="0"/>
            <w:vAlign w:val="center"/>
          </w:tcPr>
          <w:p w14:paraId="1C171B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w:t>
            </w:r>
          </w:p>
        </w:tc>
        <w:tc>
          <w:tcPr>
            <w:tcW w:w="6164" w:type="dxa"/>
            <w:gridSpan w:val="2"/>
            <w:tcBorders>
              <w:top w:val="outset" w:color="000000" w:sz="6" w:space="0"/>
              <w:left w:val="outset" w:color="000000" w:sz="6" w:space="0"/>
              <w:bottom w:val="outset" w:color="000000" w:sz="6" w:space="0"/>
              <w:right w:val="outset" w:color="000000" w:sz="6" w:space="0"/>
            </w:tcBorders>
            <w:noWrap w:val="0"/>
            <w:vAlign w:val="center"/>
          </w:tcPr>
          <w:p w14:paraId="6B3821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75627.00</w:t>
            </w:r>
          </w:p>
        </w:tc>
      </w:tr>
    </w:tbl>
    <w:p w14:paraId="024DA0C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三、收到和处理政府信息公开申请情况</w:t>
      </w:r>
    </w:p>
    <w:tbl>
      <w:tblPr>
        <w:tblStyle w:val="4"/>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675"/>
        <w:gridCol w:w="1106"/>
        <w:gridCol w:w="1868"/>
        <w:gridCol w:w="765"/>
        <w:gridCol w:w="721"/>
        <w:gridCol w:w="721"/>
        <w:gridCol w:w="765"/>
        <w:gridCol w:w="884"/>
        <w:gridCol w:w="689"/>
        <w:gridCol w:w="667"/>
      </w:tblGrid>
      <w:tr w14:paraId="78D069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5353" w:type="dxa"/>
            <w:gridSpan w:val="3"/>
            <w:vMerge w:val="restart"/>
            <w:tcBorders>
              <w:top w:val="outset" w:color="000000" w:sz="6" w:space="0"/>
              <w:left w:val="outset" w:color="000000" w:sz="6" w:space="0"/>
              <w:bottom w:val="outset" w:color="000000" w:sz="6" w:space="0"/>
              <w:right w:val="outset" w:color="000000" w:sz="6" w:space="0"/>
            </w:tcBorders>
            <w:noWrap w:val="0"/>
            <w:vAlign w:val="center"/>
          </w:tcPr>
          <w:p w14:paraId="6AF677C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（本列数据的勾稽关系为：第一项加第二项之和，等于第三项加第四项之和）</w:t>
            </w:r>
          </w:p>
        </w:tc>
        <w:tc>
          <w:tcPr>
            <w:tcW w:w="8621" w:type="dxa"/>
            <w:gridSpan w:val="7"/>
            <w:tcBorders>
              <w:top w:val="outset" w:color="000000" w:sz="6" w:space="0"/>
              <w:left w:val="outset" w:color="000000" w:sz="6" w:space="0"/>
              <w:bottom w:val="outset" w:color="000000" w:sz="6" w:space="0"/>
              <w:right w:val="outset" w:color="000000" w:sz="6" w:space="0"/>
            </w:tcBorders>
            <w:noWrap w:val="0"/>
            <w:vAlign w:val="center"/>
          </w:tcPr>
          <w:p w14:paraId="36ECF6C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申请人情况</w:t>
            </w:r>
          </w:p>
        </w:tc>
      </w:tr>
      <w:tr w14:paraId="737B6D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5353" w:type="dxa"/>
            <w:gridSpan w:val="3"/>
            <w:vMerge w:val="continue"/>
            <w:tcBorders>
              <w:top w:val="outset" w:color="000000" w:sz="6" w:space="0"/>
              <w:left w:val="outset" w:color="000000" w:sz="6" w:space="0"/>
              <w:bottom w:val="outset" w:color="000000" w:sz="6" w:space="0"/>
              <w:right w:val="outset" w:color="000000" w:sz="6" w:space="0"/>
            </w:tcBorders>
            <w:noWrap w:val="0"/>
            <w:vAlign w:val="center"/>
          </w:tcPr>
          <w:p w14:paraId="18D68A8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275" w:type="dxa"/>
            <w:vMerge w:val="restart"/>
            <w:tcBorders>
              <w:top w:val="outset" w:color="000000" w:sz="6" w:space="0"/>
              <w:left w:val="outset" w:color="000000" w:sz="6" w:space="0"/>
              <w:bottom w:val="outset" w:color="000000" w:sz="6" w:space="0"/>
              <w:right w:val="outset" w:color="000000" w:sz="6" w:space="0"/>
            </w:tcBorders>
            <w:noWrap w:val="0"/>
            <w:vAlign w:val="center"/>
          </w:tcPr>
          <w:p w14:paraId="321F3004">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自然人</w:t>
            </w:r>
          </w:p>
        </w:tc>
        <w:tc>
          <w:tcPr>
            <w:tcW w:w="6280" w:type="dxa"/>
            <w:gridSpan w:val="5"/>
            <w:tcBorders>
              <w:top w:val="outset" w:color="000000" w:sz="6" w:space="0"/>
              <w:left w:val="outset" w:color="000000" w:sz="6" w:space="0"/>
              <w:bottom w:val="outset" w:color="000000" w:sz="6" w:space="0"/>
              <w:right w:val="outset" w:color="000000" w:sz="6" w:space="0"/>
            </w:tcBorders>
            <w:noWrap w:val="0"/>
            <w:vAlign w:val="center"/>
          </w:tcPr>
          <w:p w14:paraId="250A9905">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法人或其他组织</w:t>
            </w:r>
          </w:p>
        </w:tc>
        <w:tc>
          <w:tcPr>
            <w:tcW w:w="1066" w:type="dxa"/>
            <w:vMerge w:val="restart"/>
            <w:tcBorders>
              <w:top w:val="outset" w:color="000000" w:sz="6" w:space="0"/>
              <w:left w:val="outset" w:color="000000" w:sz="6" w:space="0"/>
              <w:bottom w:val="outset" w:color="000000" w:sz="6" w:space="0"/>
              <w:right w:val="outset" w:color="000000" w:sz="6" w:space="0"/>
            </w:tcBorders>
            <w:noWrap w:val="0"/>
            <w:vAlign w:val="center"/>
          </w:tcPr>
          <w:p w14:paraId="73A519AB">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总计</w:t>
            </w:r>
          </w:p>
        </w:tc>
      </w:tr>
      <w:tr w14:paraId="58CACA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5353" w:type="dxa"/>
            <w:gridSpan w:val="3"/>
            <w:vMerge w:val="continue"/>
            <w:tcBorders>
              <w:top w:val="outset" w:color="000000" w:sz="6" w:space="0"/>
              <w:left w:val="outset" w:color="000000" w:sz="6" w:space="0"/>
              <w:bottom w:val="outset" w:color="000000" w:sz="6" w:space="0"/>
              <w:right w:val="outset" w:color="000000" w:sz="6" w:space="0"/>
            </w:tcBorders>
            <w:noWrap w:val="0"/>
            <w:vAlign w:val="center"/>
          </w:tcPr>
          <w:p w14:paraId="52F45A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275" w:type="dxa"/>
            <w:vMerge w:val="continue"/>
            <w:tcBorders>
              <w:top w:val="outset" w:color="000000" w:sz="6" w:space="0"/>
              <w:left w:val="outset" w:color="000000" w:sz="6" w:space="0"/>
              <w:bottom w:val="outset" w:color="000000" w:sz="6" w:space="0"/>
              <w:right w:val="outset" w:color="000000" w:sz="6" w:space="0"/>
            </w:tcBorders>
            <w:noWrap w:val="0"/>
            <w:vAlign w:val="center"/>
          </w:tcPr>
          <w:p w14:paraId="297E07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0DA961D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商业企业</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66A798A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科研机构</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431B24F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社会公益组织</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47BD3A2D">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法律服务机构</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2E579A2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其他</w:t>
            </w:r>
          </w:p>
        </w:tc>
        <w:tc>
          <w:tcPr>
            <w:tcW w:w="1066" w:type="dxa"/>
            <w:vMerge w:val="continue"/>
            <w:tcBorders>
              <w:top w:val="outset" w:color="000000" w:sz="6" w:space="0"/>
              <w:left w:val="outset" w:color="000000" w:sz="6" w:space="0"/>
              <w:bottom w:val="outset" w:color="000000" w:sz="6" w:space="0"/>
              <w:right w:val="outset" w:color="000000" w:sz="6" w:space="0"/>
            </w:tcBorders>
            <w:noWrap w:val="0"/>
            <w:vAlign w:val="center"/>
          </w:tcPr>
          <w:p w14:paraId="26E5C1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r>
      <w:tr w14:paraId="20BAEC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5353" w:type="dxa"/>
            <w:gridSpan w:val="3"/>
            <w:tcBorders>
              <w:top w:val="outset" w:color="000000" w:sz="6" w:space="0"/>
              <w:left w:val="outset" w:color="000000" w:sz="6" w:space="0"/>
              <w:bottom w:val="outset" w:color="000000" w:sz="6" w:space="0"/>
              <w:right w:val="outset" w:color="000000" w:sz="6" w:space="0"/>
            </w:tcBorders>
            <w:noWrap w:val="0"/>
            <w:vAlign w:val="center"/>
          </w:tcPr>
          <w:p w14:paraId="60C1A357">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一、本年新收政府信息公开申请数量</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372D1D0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E94A7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C4729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426C13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03A5F7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435E28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39CF4A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r>
      <w:tr w14:paraId="7DCA54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5353" w:type="dxa"/>
            <w:gridSpan w:val="3"/>
            <w:tcBorders>
              <w:top w:val="outset" w:color="000000" w:sz="6" w:space="0"/>
              <w:left w:val="outset" w:color="000000" w:sz="6" w:space="0"/>
              <w:bottom w:val="outset" w:color="000000" w:sz="6" w:space="0"/>
              <w:right w:val="outset" w:color="000000" w:sz="6" w:space="0"/>
            </w:tcBorders>
            <w:noWrap w:val="0"/>
            <w:vAlign w:val="center"/>
          </w:tcPr>
          <w:p w14:paraId="37CF168A">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二、上年结转政府信息公开申请数量</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43AC7C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E759A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7DE29C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88DBF4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54EFC52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36C9AF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43C34D1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0</w:t>
            </w:r>
          </w:p>
        </w:tc>
      </w:tr>
      <w:tr w14:paraId="41317F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restart"/>
            <w:tcBorders>
              <w:top w:val="outset" w:color="000000" w:sz="6" w:space="0"/>
              <w:left w:val="outset" w:color="000000" w:sz="6" w:space="0"/>
              <w:bottom w:val="outset" w:color="000000" w:sz="6" w:space="0"/>
              <w:right w:val="outset" w:color="000000" w:sz="6" w:space="0"/>
            </w:tcBorders>
            <w:noWrap w:val="0"/>
            <w:vAlign w:val="center"/>
          </w:tcPr>
          <w:p w14:paraId="7E0EFA23">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三、本年度办理结果</w:t>
            </w:r>
          </w:p>
        </w:tc>
        <w:tc>
          <w:tcPr>
            <w:tcW w:w="4612" w:type="dxa"/>
            <w:gridSpan w:val="2"/>
            <w:tcBorders>
              <w:top w:val="outset" w:color="000000" w:sz="6" w:space="0"/>
              <w:left w:val="outset" w:color="000000" w:sz="6" w:space="0"/>
              <w:bottom w:val="outset" w:color="000000" w:sz="6" w:space="0"/>
              <w:right w:val="outset" w:color="000000" w:sz="6" w:space="0"/>
            </w:tcBorders>
            <w:noWrap w:val="0"/>
            <w:vAlign w:val="center"/>
          </w:tcPr>
          <w:p w14:paraId="05F471A4">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（一）予以公开</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624BB9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4594FC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1DD600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2C54EE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0FB03B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1BABD60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1285CF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0D064E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629A72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4612" w:type="dxa"/>
            <w:gridSpan w:val="2"/>
            <w:tcBorders>
              <w:top w:val="outset" w:color="000000" w:sz="6" w:space="0"/>
              <w:left w:val="outset" w:color="000000" w:sz="6" w:space="0"/>
              <w:bottom w:val="outset" w:color="000000" w:sz="6" w:space="0"/>
              <w:right w:val="outset" w:color="000000" w:sz="6" w:space="0"/>
            </w:tcBorders>
            <w:noWrap w:val="0"/>
            <w:vAlign w:val="center"/>
          </w:tcPr>
          <w:p w14:paraId="48DE2E14">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（二）部分公开（区分处理的，只计这一情形，不计其他情形）</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124C11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1BC828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50F9FF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8AC48F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2BF3412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16EB731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417052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2F0CFA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F2BE0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restart"/>
            <w:tcBorders>
              <w:top w:val="outset" w:color="000000" w:sz="6" w:space="0"/>
              <w:left w:val="outset" w:color="000000" w:sz="6" w:space="0"/>
              <w:bottom w:val="outset" w:color="000000" w:sz="6" w:space="0"/>
              <w:right w:val="outset" w:color="000000" w:sz="6" w:space="0"/>
            </w:tcBorders>
            <w:noWrap w:val="0"/>
            <w:vAlign w:val="center"/>
          </w:tcPr>
          <w:p w14:paraId="2A403A07">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（三）不予公开</w:t>
            </w: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25DF0F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5D3CEDD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F9851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D04D0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19954C8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6A6A4F9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321F49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7C1FFE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r>
      <w:tr w14:paraId="1D8064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331A1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031ACDD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2079015D">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2.其他法律行政法规禁止公开</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1E01FF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02D5D0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6F5E4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1123B8C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2F6CB94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2D7BC3B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6023139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42AA31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59155BE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61EDD90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15EBDB7F">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3.危及“三安全一稳定”</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43D3834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484E6FB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7E34486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6F972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103D64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605FC4F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6886D2D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03CDFD5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C30B7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7C2192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6B90A884">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4.保护第三方合法权益</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A4BE2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7DF85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5C12CEC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23EC08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72A6FFB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37F421C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675098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236B70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5E20FFF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44358A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0BEE10E8">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5.属于三类内部事务信息</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54C4EBE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A75E08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099A9FE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27DCBD6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048A82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29A6AEA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65882D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451CB8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010B72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8F50E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34A153A8">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6.属于四类过程性信息</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187DF8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0757A03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419964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68CDE72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73413D9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5EE669B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55F48E0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07BAD9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990822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5BEC3A8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1466C2B3">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7.属于行政执法案卷</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187BD81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73265C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00C126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5A665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6A475F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6C71A6A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3028E9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63D34D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0CFF0D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1E56C9B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3177C0D6">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8.属于行政查询事项</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15DBCD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6BAC8B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4C95862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7A1CC2C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42F1C0F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7738794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3D2094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0E411E4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D4E91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restart"/>
            <w:tcBorders>
              <w:top w:val="outset" w:color="000000" w:sz="6" w:space="0"/>
              <w:left w:val="outset" w:color="000000" w:sz="6" w:space="0"/>
              <w:bottom w:val="outset" w:color="000000" w:sz="6" w:space="0"/>
              <w:right w:val="outset" w:color="000000" w:sz="6" w:space="0"/>
            </w:tcBorders>
            <w:noWrap w:val="0"/>
            <w:vAlign w:val="center"/>
          </w:tcPr>
          <w:p w14:paraId="45F48157">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（四）无法提供</w:t>
            </w: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35702A8A">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1.本机关不掌握相关政府信息</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B138E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66DF27F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A3C8E8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68708D1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0D4987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3F34439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5CD94B2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52142E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6B2B828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6567D3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30E2CF6E">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2.没有现成信息需要另行制作</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590FF3E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01423B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102BD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78C97E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250F5C0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3D7A0DC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342B4B5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71964B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0CCFDB4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136A781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23FA99D3">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3.补正后申请内容仍不明确</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3673366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247B3F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8184A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23525B2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52F84ED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7AF260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280959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561756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5B33576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restart"/>
            <w:tcBorders>
              <w:top w:val="outset" w:color="000000" w:sz="6" w:space="0"/>
              <w:left w:val="outset" w:color="000000" w:sz="6" w:space="0"/>
              <w:bottom w:val="outset" w:color="000000" w:sz="6" w:space="0"/>
              <w:right w:val="outset" w:color="000000" w:sz="6" w:space="0"/>
            </w:tcBorders>
            <w:noWrap w:val="0"/>
            <w:vAlign w:val="center"/>
          </w:tcPr>
          <w:p w14:paraId="08DAB8F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（五）不予处理</w:t>
            </w: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7B57A73A">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1.信访举报投诉类申请</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E664A7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049728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2C03D5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6F659B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66066A0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628D17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3379F9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218175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6EE2E2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F6A29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48EBA84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2.重复申请</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626858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6862E3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60B659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4E6E753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4550DD6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0930D36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7FBB9C6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49A65A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4F221B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14685D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7958B8DB">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3.要求提供公开出版物</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4A2D188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1230070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7DBF0F9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7D5FDB7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0B4B4D9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57A1FD6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4665A7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0A6865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708299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1E96A7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022F774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4.无正当理由大量反复申请</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795D11A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524295C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5C5BD1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67E71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3DB630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2C517E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3760F6F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45F18B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0557B5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321" w:type="dxa"/>
            <w:vMerge w:val="continue"/>
            <w:tcBorders>
              <w:top w:val="outset" w:color="000000" w:sz="6" w:space="0"/>
              <w:left w:val="outset" w:color="000000" w:sz="6" w:space="0"/>
              <w:bottom w:val="outset" w:color="000000" w:sz="6" w:space="0"/>
              <w:right w:val="outset" w:color="000000" w:sz="6" w:space="0"/>
            </w:tcBorders>
            <w:noWrap w:val="0"/>
            <w:vAlign w:val="center"/>
          </w:tcPr>
          <w:p w14:paraId="17F1D7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3291" w:type="dxa"/>
            <w:tcBorders>
              <w:top w:val="outset" w:color="000000" w:sz="6" w:space="0"/>
              <w:left w:val="outset" w:color="000000" w:sz="6" w:space="0"/>
              <w:bottom w:val="outset" w:color="000000" w:sz="6" w:space="0"/>
              <w:right w:val="outset" w:color="000000" w:sz="6" w:space="0"/>
            </w:tcBorders>
            <w:noWrap w:val="0"/>
            <w:vAlign w:val="center"/>
          </w:tcPr>
          <w:p w14:paraId="5FE0F07C">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5.要求行政机关确认或重新出具已获取信息</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20BE24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D38430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836E19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36DEA6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1EF5118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3B18F5F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5966EA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2DB6AD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2B1BEA8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4612" w:type="dxa"/>
            <w:gridSpan w:val="2"/>
            <w:tcBorders>
              <w:top w:val="outset" w:color="000000" w:sz="6" w:space="0"/>
              <w:left w:val="outset" w:color="000000" w:sz="6" w:space="0"/>
              <w:bottom w:val="outset" w:color="000000" w:sz="6" w:space="0"/>
              <w:right w:val="outset" w:color="000000" w:sz="6" w:space="0"/>
            </w:tcBorders>
            <w:noWrap w:val="0"/>
            <w:vAlign w:val="center"/>
          </w:tcPr>
          <w:p w14:paraId="11704EF8">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（六）其他处理</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5FB2D8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2E84DB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40A6D7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6E27495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146CD68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43EDF6D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5639AE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07EE90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741" w:type="dxa"/>
            <w:vMerge w:val="continue"/>
            <w:tcBorders>
              <w:top w:val="outset" w:color="000000" w:sz="6" w:space="0"/>
              <w:left w:val="outset" w:color="000000" w:sz="6" w:space="0"/>
              <w:bottom w:val="outset" w:color="000000" w:sz="6" w:space="0"/>
              <w:right w:val="outset" w:color="000000" w:sz="6" w:space="0"/>
            </w:tcBorders>
            <w:noWrap w:val="0"/>
            <w:vAlign w:val="center"/>
          </w:tcPr>
          <w:p w14:paraId="2D736B2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4612" w:type="dxa"/>
            <w:gridSpan w:val="2"/>
            <w:tcBorders>
              <w:top w:val="outset" w:color="000000" w:sz="6" w:space="0"/>
              <w:left w:val="outset" w:color="000000" w:sz="6" w:space="0"/>
              <w:bottom w:val="outset" w:color="000000" w:sz="6" w:space="0"/>
              <w:right w:val="outset" w:color="000000" w:sz="6" w:space="0"/>
            </w:tcBorders>
            <w:noWrap w:val="0"/>
            <w:vAlign w:val="center"/>
          </w:tcPr>
          <w:p w14:paraId="6D6D32E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（七）总计</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88C8F8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4BCE5F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61B2B52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11A70F0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610B00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13D9D2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0D3061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r w14:paraId="334770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5353" w:type="dxa"/>
            <w:gridSpan w:val="3"/>
            <w:tcBorders>
              <w:top w:val="outset" w:color="000000" w:sz="6" w:space="0"/>
              <w:left w:val="outset" w:color="000000" w:sz="6" w:space="0"/>
              <w:bottom w:val="outset" w:color="000000" w:sz="6" w:space="0"/>
              <w:right w:val="outset" w:color="000000" w:sz="6" w:space="0"/>
            </w:tcBorders>
            <w:noWrap w:val="0"/>
            <w:vAlign w:val="center"/>
          </w:tcPr>
          <w:p w14:paraId="58BA8183">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四、结转下年度继续办理</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0F5EE2D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778882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182" w:type="dxa"/>
            <w:tcBorders>
              <w:top w:val="outset" w:color="000000" w:sz="6" w:space="0"/>
              <w:left w:val="outset" w:color="000000" w:sz="6" w:space="0"/>
              <w:bottom w:val="outset" w:color="000000" w:sz="6" w:space="0"/>
              <w:right w:val="outset" w:color="000000" w:sz="6" w:space="0"/>
            </w:tcBorders>
            <w:noWrap w:val="0"/>
            <w:vAlign w:val="center"/>
          </w:tcPr>
          <w:p w14:paraId="3076AEC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275" w:type="dxa"/>
            <w:tcBorders>
              <w:top w:val="outset" w:color="000000" w:sz="6" w:space="0"/>
              <w:left w:val="outset" w:color="000000" w:sz="6" w:space="0"/>
              <w:bottom w:val="outset" w:color="000000" w:sz="6" w:space="0"/>
              <w:right w:val="outset" w:color="000000" w:sz="6" w:space="0"/>
            </w:tcBorders>
            <w:noWrap w:val="0"/>
            <w:vAlign w:val="center"/>
          </w:tcPr>
          <w:p w14:paraId="7DC71D9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529" w:type="dxa"/>
            <w:tcBorders>
              <w:top w:val="outset" w:color="000000" w:sz="6" w:space="0"/>
              <w:left w:val="outset" w:color="000000" w:sz="6" w:space="0"/>
              <w:bottom w:val="outset" w:color="000000" w:sz="6" w:space="0"/>
              <w:right w:val="outset" w:color="000000" w:sz="6" w:space="0"/>
            </w:tcBorders>
            <w:noWrap w:val="0"/>
            <w:vAlign w:val="center"/>
          </w:tcPr>
          <w:p w14:paraId="6D2C3F8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112" w:type="dxa"/>
            <w:tcBorders>
              <w:top w:val="outset" w:color="000000" w:sz="6" w:space="0"/>
              <w:left w:val="outset" w:color="000000" w:sz="6" w:space="0"/>
              <w:bottom w:val="outset" w:color="000000" w:sz="6" w:space="0"/>
              <w:right w:val="outset" w:color="000000" w:sz="6" w:space="0"/>
            </w:tcBorders>
            <w:noWrap w:val="0"/>
            <w:vAlign w:val="center"/>
          </w:tcPr>
          <w:p w14:paraId="218493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66" w:type="dxa"/>
            <w:tcBorders>
              <w:top w:val="outset" w:color="000000" w:sz="6" w:space="0"/>
              <w:left w:val="outset" w:color="000000" w:sz="6" w:space="0"/>
              <w:bottom w:val="outset" w:color="000000" w:sz="6" w:space="0"/>
              <w:right w:val="outset" w:color="000000" w:sz="6" w:space="0"/>
            </w:tcBorders>
            <w:noWrap w:val="0"/>
            <w:vAlign w:val="center"/>
          </w:tcPr>
          <w:p w14:paraId="6C3AE4B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bl>
    <w:p w14:paraId="38926E3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四、政府信息公开行政复议、行政诉讼情况</w:t>
      </w:r>
    </w:p>
    <w:tbl>
      <w:tblPr>
        <w:tblStyle w:val="4"/>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581"/>
        <w:gridCol w:w="582"/>
        <w:gridCol w:w="582"/>
        <w:gridCol w:w="582"/>
        <w:gridCol w:w="626"/>
        <w:gridCol w:w="582"/>
        <w:gridCol w:w="582"/>
        <w:gridCol w:w="582"/>
        <w:gridCol w:w="582"/>
        <w:gridCol w:w="626"/>
        <w:gridCol w:w="582"/>
        <w:gridCol w:w="582"/>
        <w:gridCol w:w="582"/>
        <w:gridCol w:w="582"/>
        <w:gridCol w:w="626"/>
      </w:tblGrid>
      <w:tr w14:paraId="3AC5BE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658" w:type="dxa"/>
            <w:gridSpan w:val="5"/>
            <w:tcBorders>
              <w:top w:val="outset" w:color="000000" w:sz="6" w:space="0"/>
              <w:left w:val="outset" w:color="000000" w:sz="6" w:space="0"/>
              <w:bottom w:val="outset" w:color="000000" w:sz="6" w:space="0"/>
              <w:right w:val="outset" w:color="000000" w:sz="6" w:space="0"/>
            </w:tcBorders>
            <w:noWrap w:val="0"/>
            <w:vAlign w:val="center"/>
          </w:tcPr>
          <w:p w14:paraId="6C43229D">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行政复议</w:t>
            </w:r>
          </w:p>
        </w:tc>
        <w:tc>
          <w:tcPr>
            <w:tcW w:w="9316" w:type="dxa"/>
            <w:gridSpan w:val="10"/>
            <w:tcBorders>
              <w:top w:val="outset" w:color="000000" w:sz="6" w:space="0"/>
              <w:left w:val="outset" w:color="000000" w:sz="6" w:space="0"/>
              <w:bottom w:val="outset" w:color="000000" w:sz="6" w:space="0"/>
              <w:right w:val="outset" w:color="000000" w:sz="6" w:space="0"/>
            </w:tcBorders>
            <w:noWrap w:val="0"/>
            <w:vAlign w:val="center"/>
          </w:tcPr>
          <w:p w14:paraId="674BC34F">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行政诉讼</w:t>
            </w:r>
          </w:p>
        </w:tc>
      </w:tr>
      <w:tr w14:paraId="517132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912" w:type="dxa"/>
            <w:vMerge w:val="restart"/>
            <w:tcBorders>
              <w:top w:val="outset" w:color="000000" w:sz="6" w:space="0"/>
              <w:left w:val="outset" w:color="000000" w:sz="6" w:space="0"/>
              <w:bottom w:val="outset" w:color="000000" w:sz="6" w:space="0"/>
              <w:right w:val="outset" w:color="000000" w:sz="6" w:space="0"/>
            </w:tcBorders>
            <w:noWrap w:val="0"/>
            <w:vAlign w:val="center"/>
          </w:tcPr>
          <w:p w14:paraId="2C1CF9C7">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结果维持</w:t>
            </w:r>
          </w:p>
        </w:tc>
        <w:tc>
          <w:tcPr>
            <w:tcW w:w="912" w:type="dxa"/>
            <w:vMerge w:val="restart"/>
            <w:tcBorders>
              <w:top w:val="outset" w:color="000000" w:sz="6" w:space="0"/>
              <w:left w:val="outset" w:color="000000" w:sz="6" w:space="0"/>
              <w:bottom w:val="outset" w:color="000000" w:sz="6" w:space="0"/>
              <w:right w:val="outset" w:color="000000" w:sz="6" w:space="0"/>
            </w:tcBorders>
            <w:noWrap w:val="0"/>
            <w:vAlign w:val="center"/>
          </w:tcPr>
          <w:p w14:paraId="54231925">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结果纠正</w:t>
            </w:r>
          </w:p>
        </w:tc>
        <w:tc>
          <w:tcPr>
            <w:tcW w:w="912" w:type="dxa"/>
            <w:vMerge w:val="restart"/>
            <w:tcBorders>
              <w:top w:val="outset" w:color="000000" w:sz="6" w:space="0"/>
              <w:left w:val="outset" w:color="000000" w:sz="6" w:space="0"/>
              <w:bottom w:val="outset" w:color="000000" w:sz="6" w:space="0"/>
              <w:right w:val="outset" w:color="000000" w:sz="6" w:space="0"/>
            </w:tcBorders>
            <w:noWrap w:val="0"/>
            <w:vAlign w:val="center"/>
          </w:tcPr>
          <w:p w14:paraId="08A5DCA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其他结果</w:t>
            </w:r>
          </w:p>
        </w:tc>
        <w:tc>
          <w:tcPr>
            <w:tcW w:w="912" w:type="dxa"/>
            <w:vMerge w:val="restart"/>
            <w:tcBorders>
              <w:top w:val="outset" w:color="000000" w:sz="6" w:space="0"/>
              <w:left w:val="outset" w:color="000000" w:sz="6" w:space="0"/>
              <w:bottom w:val="outset" w:color="000000" w:sz="6" w:space="0"/>
              <w:right w:val="outset" w:color="000000" w:sz="6" w:space="0"/>
            </w:tcBorders>
            <w:noWrap w:val="0"/>
            <w:vAlign w:val="center"/>
          </w:tcPr>
          <w:p w14:paraId="4D2A9015">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尚未审结</w:t>
            </w:r>
          </w:p>
        </w:tc>
        <w:tc>
          <w:tcPr>
            <w:tcW w:w="1010" w:type="dxa"/>
            <w:vMerge w:val="restart"/>
            <w:tcBorders>
              <w:top w:val="outset" w:color="000000" w:sz="6" w:space="0"/>
              <w:left w:val="outset" w:color="000000" w:sz="6" w:space="0"/>
              <w:bottom w:val="outset" w:color="000000" w:sz="6" w:space="0"/>
              <w:right w:val="outset" w:color="000000" w:sz="6" w:space="0"/>
            </w:tcBorders>
            <w:noWrap w:val="0"/>
            <w:vAlign w:val="center"/>
          </w:tcPr>
          <w:p w14:paraId="7B7C233A">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总计</w:t>
            </w:r>
          </w:p>
        </w:tc>
        <w:tc>
          <w:tcPr>
            <w:tcW w:w="4658" w:type="dxa"/>
            <w:gridSpan w:val="5"/>
            <w:tcBorders>
              <w:top w:val="outset" w:color="000000" w:sz="6" w:space="0"/>
              <w:left w:val="outset" w:color="000000" w:sz="6" w:space="0"/>
              <w:bottom w:val="outset" w:color="000000" w:sz="6" w:space="0"/>
              <w:right w:val="outset" w:color="000000" w:sz="6" w:space="0"/>
            </w:tcBorders>
            <w:noWrap w:val="0"/>
            <w:vAlign w:val="center"/>
          </w:tcPr>
          <w:p w14:paraId="26F8629D">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未经复议直接起诉</w:t>
            </w:r>
          </w:p>
        </w:tc>
        <w:tc>
          <w:tcPr>
            <w:tcW w:w="4658" w:type="dxa"/>
            <w:gridSpan w:val="5"/>
            <w:tcBorders>
              <w:top w:val="outset" w:color="000000" w:sz="6" w:space="0"/>
              <w:left w:val="outset" w:color="000000" w:sz="6" w:space="0"/>
              <w:bottom w:val="outset" w:color="000000" w:sz="6" w:space="0"/>
              <w:right w:val="outset" w:color="000000" w:sz="6" w:space="0"/>
            </w:tcBorders>
            <w:noWrap w:val="0"/>
            <w:vAlign w:val="center"/>
          </w:tcPr>
          <w:p w14:paraId="2F3D438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复议后起诉</w:t>
            </w:r>
          </w:p>
        </w:tc>
      </w:tr>
      <w:tr w14:paraId="651A99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912" w:type="dxa"/>
            <w:vMerge w:val="continue"/>
            <w:tcBorders>
              <w:top w:val="outset" w:color="000000" w:sz="6" w:space="0"/>
              <w:left w:val="outset" w:color="000000" w:sz="6" w:space="0"/>
              <w:bottom w:val="outset" w:color="000000" w:sz="6" w:space="0"/>
              <w:right w:val="outset" w:color="000000" w:sz="6" w:space="0"/>
            </w:tcBorders>
            <w:noWrap w:val="0"/>
            <w:vAlign w:val="center"/>
          </w:tcPr>
          <w:p w14:paraId="222E861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912" w:type="dxa"/>
            <w:vMerge w:val="continue"/>
            <w:tcBorders>
              <w:top w:val="outset" w:color="000000" w:sz="6" w:space="0"/>
              <w:left w:val="outset" w:color="000000" w:sz="6" w:space="0"/>
              <w:bottom w:val="outset" w:color="000000" w:sz="6" w:space="0"/>
              <w:right w:val="outset" w:color="000000" w:sz="6" w:space="0"/>
            </w:tcBorders>
            <w:noWrap w:val="0"/>
            <w:vAlign w:val="center"/>
          </w:tcPr>
          <w:p w14:paraId="2C772FA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912" w:type="dxa"/>
            <w:vMerge w:val="continue"/>
            <w:tcBorders>
              <w:top w:val="outset" w:color="000000" w:sz="6" w:space="0"/>
              <w:left w:val="outset" w:color="000000" w:sz="6" w:space="0"/>
              <w:bottom w:val="outset" w:color="000000" w:sz="6" w:space="0"/>
              <w:right w:val="outset" w:color="000000" w:sz="6" w:space="0"/>
            </w:tcBorders>
            <w:noWrap w:val="0"/>
            <w:vAlign w:val="center"/>
          </w:tcPr>
          <w:p w14:paraId="3F4C09D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912" w:type="dxa"/>
            <w:vMerge w:val="continue"/>
            <w:tcBorders>
              <w:top w:val="outset" w:color="000000" w:sz="6" w:space="0"/>
              <w:left w:val="outset" w:color="000000" w:sz="6" w:space="0"/>
              <w:bottom w:val="outset" w:color="000000" w:sz="6" w:space="0"/>
              <w:right w:val="outset" w:color="000000" w:sz="6" w:space="0"/>
            </w:tcBorders>
            <w:noWrap w:val="0"/>
            <w:vAlign w:val="center"/>
          </w:tcPr>
          <w:p w14:paraId="485428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1010" w:type="dxa"/>
            <w:vMerge w:val="continue"/>
            <w:tcBorders>
              <w:top w:val="outset" w:color="000000" w:sz="6" w:space="0"/>
              <w:left w:val="outset" w:color="000000" w:sz="6" w:space="0"/>
              <w:bottom w:val="outset" w:color="000000" w:sz="6" w:space="0"/>
              <w:right w:val="outset" w:color="000000" w:sz="6" w:space="0"/>
            </w:tcBorders>
            <w:noWrap w:val="0"/>
            <w:vAlign w:val="center"/>
          </w:tcPr>
          <w:p w14:paraId="50CCA73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0B805FF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结果维持</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50E7538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结果纠正</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16A15D3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其他结果</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0E60132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尚未审结</w:t>
            </w:r>
          </w:p>
        </w:tc>
        <w:tc>
          <w:tcPr>
            <w:tcW w:w="1010" w:type="dxa"/>
            <w:tcBorders>
              <w:top w:val="outset" w:color="000000" w:sz="6" w:space="0"/>
              <w:left w:val="outset" w:color="000000" w:sz="6" w:space="0"/>
              <w:bottom w:val="outset" w:color="000000" w:sz="6" w:space="0"/>
              <w:right w:val="outset" w:color="000000" w:sz="6" w:space="0"/>
            </w:tcBorders>
            <w:noWrap w:val="0"/>
            <w:vAlign w:val="center"/>
          </w:tcPr>
          <w:p w14:paraId="6483275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总计</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4EECC840">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结果维持</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54997889">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结果纠正</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1A954A01">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其他结果</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12B0F932">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尚未审结</w:t>
            </w:r>
          </w:p>
        </w:tc>
        <w:tc>
          <w:tcPr>
            <w:tcW w:w="1010" w:type="dxa"/>
            <w:tcBorders>
              <w:top w:val="outset" w:color="000000" w:sz="6" w:space="0"/>
              <w:left w:val="outset" w:color="000000" w:sz="6" w:space="0"/>
              <w:bottom w:val="outset" w:color="000000" w:sz="6" w:space="0"/>
              <w:right w:val="outset" w:color="000000" w:sz="6" w:space="0"/>
            </w:tcBorders>
            <w:noWrap w:val="0"/>
            <w:vAlign w:val="center"/>
          </w:tcPr>
          <w:p w14:paraId="0FEEB38E">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总计</w:t>
            </w:r>
          </w:p>
        </w:tc>
      </w:tr>
      <w:tr w14:paraId="101134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912" w:type="dxa"/>
            <w:tcBorders>
              <w:top w:val="outset" w:color="000000" w:sz="6" w:space="0"/>
              <w:left w:val="outset" w:color="000000" w:sz="6" w:space="0"/>
              <w:bottom w:val="outset" w:color="000000" w:sz="6" w:space="0"/>
              <w:right w:val="outset" w:color="000000" w:sz="6" w:space="0"/>
            </w:tcBorders>
            <w:noWrap w:val="0"/>
            <w:vAlign w:val="center"/>
          </w:tcPr>
          <w:p w14:paraId="6476702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0BDB0E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45C0F6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1D5389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10" w:type="dxa"/>
            <w:tcBorders>
              <w:top w:val="outset" w:color="000000" w:sz="6" w:space="0"/>
              <w:left w:val="outset" w:color="000000" w:sz="6" w:space="0"/>
              <w:bottom w:val="outset" w:color="000000" w:sz="6" w:space="0"/>
              <w:right w:val="outset" w:color="000000" w:sz="6" w:space="0"/>
            </w:tcBorders>
            <w:noWrap w:val="0"/>
            <w:vAlign w:val="center"/>
          </w:tcPr>
          <w:p w14:paraId="7216198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19E5C7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02DD73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21A8DE1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29B001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10" w:type="dxa"/>
            <w:tcBorders>
              <w:top w:val="outset" w:color="000000" w:sz="6" w:space="0"/>
              <w:left w:val="outset" w:color="000000" w:sz="6" w:space="0"/>
              <w:bottom w:val="outset" w:color="000000" w:sz="6" w:space="0"/>
              <w:right w:val="outset" w:color="000000" w:sz="6" w:space="0"/>
            </w:tcBorders>
            <w:noWrap w:val="0"/>
            <w:vAlign w:val="center"/>
          </w:tcPr>
          <w:p w14:paraId="653FEC7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2E60B8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557ED7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53CC3B8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912" w:type="dxa"/>
            <w:tcBorders>
              <w:top w:val="outset" w:color="000000" w:sz="6" w:space="0"/>
              <w:left w:val="outset" w:color="000000" w:sz="6" w:space="0"/>
              <w:bottom w:val="outset" w:color="000000" w:sz="6" w:space="0"/>
              <w:right w:val="outset" w:color="000000" w:sz="6" w:space="0"/>
            </w:tcBorders>
            <w:noWrap w:val="0"/>
            <w:vAlign w:val="center"/>
          </w:tcPr>
          <w:p w14:paraId="6CDBA52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c>
          <w:tcPr>
            <w:tcW w:w="1010" w:type="dxa"/>
            <w:tcBorders>
              <w:top w:val="outset" w:color="000000" w:sz="6" w:space="0"/>
              <w:left w:val="outset" w:color="000000" w:sz="6" w:space="0"/>
              <w:bottom w:val="outset" w:color="000000" w:sz="6" w:space="0"/>
              <w:right w:val="outset" w:color="000000" w:sz="6" w:space="0"/>
            </w:tcBorders>
            <w:noWrap w:val="0"/>
            <w:vAlign w:val="center"/>
          </w:tcPr>
          <w:p w14:paraId="1160234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0</w:t>
            </w:r>
          </w:p>
        </w:tc>
      </w:tr>
    </w:tbl>
    <w:p w14:paraId="4CA9A4E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五、</w:t>
      </w:r>
      <w:r>
        <w:rPr>
          <w:rStyle w:val="8"/>
          <w:rFonts w:hint="eastAsia" w:ascii="黑体" w:hAnsi="黑体" w:eastAsia="黑体" w:cs="黑体"/>
          <w:b w:val="0"/>
          <w:bCs w:val="0"/>
          <w:sz w:val="32"/>
          <w:szCs w:val="32"/>
        </w:rPr>
        <w:t>政府信息公开工作存在主要问题及改进情况</w:t>
      </w:r>
    </w:p>
    <w:p w14:paraId="278B4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2020年，我镇扎实开展政府信息公开工作，但也存在一些不足：一是公开意识及内容需要进一步深化。政府机关主动公开的政府信息与公众的需求还存在一些距离，听取公众意见方面需要进一步加强。二是公开形式的便民性需要进一步提高。在接下来的工作中，我们将健全完善政府信息公开制度，进一步深化公开内容，拓展公开形式，确保深入、持续、高效地开展政府信息公开工作。</w:t>
      </w:r>
    </w:p>
    <w:p w14:paraId="433ADF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rPr>
        <w:t>六、其他需要报告的事项</w:t>
      </w:r>
    </w:p>
    <w:p w14:paraId="7D9BB87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Style w:val="8"/>
          <w:rFonts w:hint="eastAsia" w:ascii="仿宋" w:hAnsi="仿宋" w:eastAsia="仿宋" w:cs="仿宋"/>
          <w:b w:val="0"/>
          <w:bCs w:val="0"/>
          <w:color w:val="000000"/>
          <w:sz w:val="32"/>
          <w:szCs w:val="32"/>
          <w:lang w:eastAsia="zh-CN"/>
        </w:rPr>
        <w:t>无。</w:t>
      </w:r>
      <w:r>
        <w:rPr>
          <w:rFonts w:hint="eastAsia" w:ascii="仿宋" w:hAnsi="仿宋" w:eastAsia="仿宋" w:cs="仿宋"/>
          <w:sz w:val="32"/>
          <w:szCs w:val="32"/>
          <w:lang w:val="en-US" w:eastAsia="zh-CN"/>
        </w:rPr>
        <w:t xml:space="preserve">                               </w:t>
      </w:r>
    </w:p>
    <w:p w14:paraId="16A655F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jc w:val="center"/>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坎市镇人民政府</w:t>
      </w:r>
    </w:p>
    <w:p w14:paraId="43C7DD0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2021年1月15日</w:t>
      </w:r>
    </w:p>
    <w:p w14:paraId="394C9DC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2E145DA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040C905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79FAA7D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3B13600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6E820BF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2CD063B6">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07D1C96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08692B6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33E009B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6B63A4CD">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14:paraId="0DEFAC01">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line="56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 送：区政府办公室（数字办）。</w:t>
      </w:r>
    </w:p>
    <w:p w14:paraId="4CE56A19">
      <w:pPr>
        <w:keepNext w:val="0"/>
        <w:keepLines w:val="0"/>
        <w:pageBreakBefore w:val="0"/>
        <w:widowControl w:val="0"/>
        <w:pBdr>
          <w:bottom w:val="single" w:color="auto" w:sz="4" w:space="0"/>
        </w:pBdr>
        <w:kinsoku/>
        <w:wordWrap/>
        <w:overflowPunct/>
        <w:topLinePunct w:val="0"/>
        <w:autoSpaceDE/>
        <w:autoSpaceDN/>
        <w:bidi w:val="0"/>
        <w:adjustRightInd/>
        <w:snapToGrid/>
        <w:spacing w:beforeAutospacing="0" w:line="56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坎市镇人民政府办公室                2021年1月15日印发</w:t>
      </w:r>
      <w:bookmarkStart w:id="0" w:name="正文内容E"/>
      <w:bookmarkEnd w:id="0"/>
    </w:p>
    <w:bookmarkEnd w:id="1"/>
    <w:sectPr>
      <w:footerReference r:id="rId3" w:type="default"/>
      <w:pgSz w:w="11906" w:h="16838"/>
      <w:pgMar w:top="2098" w:right="1474" w:bottom="209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26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4A8CC">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4A8CC">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MmI5YzI5Yjk4NGMyNWQzNzJhZTBiYWZjNzhjNzIifQ=="/>
  </w:docVars>
  <w:rsids>
    <w:rsidRoot w:val="517D2E16"/>
    <w:rsid w:val="03C417EF"/>
    <w:rsid w:val="0EDF4B1B"/>
    <w:rsid w:val="0F075B3B"/>
    <w:rsid w:val="0F57786B"/>
    <w:rsid w:val="145F7CC0"/>
    <w:rsid w:val="18E66411"/>
    <w:rsid w:val="1F2F4B8D"/>
    <w:rsid w:val="21366A6B"/>
    <w:rsid w:val="25CF545E"/>
    <w:rsid w:val="271B5138"/>
    <w:rsid w:val="28BD65C4"/>
    <w:rsid w:val="29C80265"/>
    <w:rsid w:val="2E116C2F"/>
    <w:rsid w:val="2E8B3670"/>
    <w:rsid w:val="37B41095"/>
    <w:rsid w:val="3B346E23"/>
    <w:rsid w:val="422F7DDA"/>
    <w:rsid w:val="452A0D6D"/>
    <w:rsid w:val="4673280D"/>
    <w:rsid w:val="48525CA7"/>
    <w:rsid w:val="486576C6"/>
    <w:rsid w:val="517D2E16"/>
    <w:rsid w:val="53FD13B3"/>
    <w:rsid w:val="55E903AE"/>
    <w:rsid w:val="5B9C3E5E"/>
    <w:rsid w:val="5D8C6A72"/>
    <w:rsid w:val="608B19F7"/>
    <w:rsid w:val="65904DB2"/>
    <w:rsid w:val="6D8375A2"/>
    <w:rsid w:val="7246600A"/>
    <w:rsid w:val="740C371E"/>
    <w:rsid w:val="7481047B"/>
    <w:rsid w:val="76525D26"/>
    <w:rsid w:val="77E4557A"/>
    <w:rsid w:val="7A3532D2"/>
    <w:rsid w:val="7D843C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7"/>
    <w:semiHidden/>
    <w:qFormat/>
    <w:uiPriority w:val="0"/>
    <w:rPr>
      <w:rFonts w:ascii="Verdana" w:hAnsi="Verdana" w:eastAsia="宋体"/>
      <w:kern w:val="0"/>
      <w:sz w:val="21"/>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Char Char Char Char Char Char Char Char Char Char Char Char Char Char Char Char Char Char"/>
    <w:basedOn w:val="1"/>
    <w:link w:val="6"/>
    <w:qFormat/>
    <w:uiPriority w:val="0"/>
    <w:pPr>
      <w:widowControl/>
      <w:spacing w:line="300" w:lineRule="auto"/>
      <w:ind w:firstLine="200" w:firstLineChars="200"/>
    </w:pPr>
    <w:rPr>
      <w:rFonts w:ascii="Verdana" w:hAnsi="Verdana" w:eastAsia="宋体"/>
      <w:kern w:val="0"/>
      <w:sz w:val="21"/>
      <w:szCs w:val="20"/>
      <w:lang w:eastAsia="en-US"/>
    </w:rPr>
  </w:style>
  <w:style w:type="character" w:styleId="8">
    <w:name w:val="Strong"/>
    <w:basedOn w:val="6"/>
    <w:qFormat/>
    <w:uiPriority w:val="0"/>
    <w:rPr>
      <w:b/>
      <w:bCs/>
    </w:rPr>
  </w:style>
  <w:style w:type="character" w:styleId="9">
    <w:name w:val="FollowedHyperlink"/>
    <w:basedOn w:val="6"/>
    <w:qFormat/>
    <w:uiPriority w:val="0"/>
    <w:rPr>
      <w:color w:val="565656"/>
      <w:u w:val="none"/>
    </w:rPr>
  </w:style>
  <w:style w:type="character" w:styleId="10">
    <w:name w:val="Hyperlink"/>
    <w:basedOn w:val="6"/>
    <w:qFormat/>
    <w:uiPriority w:val="0"/>
    <w:rPr>
      <w:color w:val="0000FF"/>
      <w:u w:val="single"/>
    </w:rPr>
  </w:style>
  <w:style w:type="paragraph" w:customStyle="1" w:styleId="11">
    <w:name w:val="p0"/>
    <w:basedOn w:val="1"/>
    <w:qFormat/>
    <w:uiPriority w:val="0"/>
    <w:pPr>
      <w:widowControl/>
    </w:pPr>
    <w:rPr>
      <w:rFonts w:eastAsia="宋体"/>
      <w:kern w:val="0"/>
      <w:sz w:val="21"/>
      <w:szCs w:val="21"/>
    </w:rPr>
  </w:style>
  <w:style w:type="paragraph" w:customStyle="1" w:styleId="12">
    <w:name w:val="emtidy-16"/>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emtidy-13"/>
    <w:basedOn w:val="6"/>
    <w:qFormat/>
    <w:uiPriority w:val="0"/>
  </w:style>
  <w:style w:type="character" w:customStyle="1" w:styleId="14">
    <w:name w:val="h_a"/>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4410</Words>
  <Characters>4534</Characters>
  <Lines>0</Lines>
  <Paragraphs>0</Paragraphs>
  <TotalTime>95</TotalTime>
  <ScaleCrop>false</ScaleCrop>
  <LinksUpToDate>false</LinksUpToDate>
  <CharactersWithSpaces>4649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2019-01-02T06:36:00Z</dcterms:created>
  <dc:creator>Administrator</dc:creator>
  <cp:lastModifiedBy>Derrick</cp:lastModifiedBy>
  <cp:lastPrinted>2021-01-15T08:40:00Z</cp:lastPrinted>
  <dcterms:modified xsi:type="dcterms:W3CDTF">2024-10-28T01:18:22Z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0335ABD17651499B9CB3EADB2D802599_12</vt:lpwstr>
  </property>
</Properties>
</file>