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3273E">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4"/>
          <w:szCs w:val="34"/>
          <w:lang w:eastAsia="zh-CN" w:bidi="ar"/>
        </w:rPr>
      </w:pPr>
    </w:p>
    <w:p w14:paraId="6849BFC2">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2"/>
          <w:szCs w:val="32"/>
          <w:lang w:eastAsia="zh-CN" w:bidi="ar"/>
        </w:rPr>
      </w:pPr>
    </w:p>
    <w:p w14:paraId="4A808459">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2"/>
          <w:szCs w:val="32"/>
          <w:lang w:eastAsia="zh-CN" w:bidi="ar"/>
        </w:rPr>
      </w:pPr>
    </w:p>
    <w:p w14:paraId="6D340598">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2"/>
          <w:szCs w:val="32"/>
          <w:lang w:eastAsia="zh-CN" w:bidi="ar"/>
        </w:rPr>
      </w:pPr>
    </w:p>
    <w:p w14:paraId="1814345F">
      <w:pPr>
        <w:keepNext w:val="0"/>
        <w:keepLines w:val="0"/>
        <w:pageBreakBefore w:val="0"/>
        <w:widowControl/>
        <w:kinsoku/>
        <w:overflowPunct/>
        <w:topLinePunct w:val="0"/>
        <w:autoSpaceDE/>
        <w:autoSpaceDN/>
        <w:bidi w:val="0"/>
        <w:adjustRightInd/>
        <w:snapToGrid/>
        <w:spacing w:line="580" w:lineRule="exact"/>
        <w:jc w:val="both"/>
        <w:textAlignment w:val="auto"/>
        <w:rPr>
          <w:rFonts w:hint="eastAsia" w:ascii="仿宋_GB2312" w:hAnsi="宋体" w:eastAsia="仿宋_GB2312" w:cs="仿宋_GB2312"/>
          <w:kern w:val="0"/>
          <w:sz w:val="32"/>
          <w:szCs w:val="32"/>
          <w:lang w:eastAsia="zh-CN" w:bidi="ar"/>
        </w:rPr>
      </w:pPr>
    </w:p>
    <w:p w14:paraId="63A762EC">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2"/>
          <w:szCs w:val="32"/>
          <w:lang w:eastAsia="zh-CN" w:bidi="ar"/>
        </w:rPr>
      </w:pPr>
    </w:p>
    <w:p w14:paraId="01F73820">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2"/>
          <w:szCs w:val="32"/>
          <w:lang w:eastAsia="zh-CN" w:bidi="ar"/>
        </w:rPr>
      </w:pPr>
    </w:p>
    <w:p w14:paraId="244BD82C">
      <w:pPr>
        <w:keepNext w:val="0"/>
        <w:keepLines w:val="0"/>
        <w:pageBreakBefore w:val="0"/>
        <w:widowControl/>
        <w:kinsoku/>
        <w:overflowPunct/>
        <w:topLinePunct w:val="0"/>
        <w:autoSpaceDE/>
        <w:autoSpaceDN/>
        <w:bidi w:val="0"/>
        <w:adjustRightInd/>
        <w:snapToGrid/>
        <w:spacing w:line="580" w:lineRule="exact"/>
        <w:jc w:val="center"/>
        <w:textAlignment w:val="auto"/>
        <w:rPr>
          <w:rFonts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eastAsia="zh-CN" w:bidi="ar"/>
        </w:rPr>
        <w:t>金政</w:t>
      </w:r>
      <w:r>
        <w:rPr>
          <w:rFonts w:ascii="仿宋_GB2312" w:hAnsi="宋体" w:eastAsia="仿宋_GB2312" w:cs="仿宋_GB2312"/>
          <w:kern w:val="0"/>
          <w:sz w:val="32"/>
          <w:szCs w:val="32"/>
          <w:lang w:bidi="ar"/>
        </w:rPr>
        <w:t>〔202</w:t>
      </w:r>
      <w:r>
        <w:rPr>
          <w:rFonts w:hint="eastAsia" w:ascii="仿宋_GB2312" w:hAnsi="宋体" w:eastAsia="仿宋_GB2312" w:cs="仿宋_GB2312"/>
          <w:kern w:val="0"/>
          <w:sz w:val="32"/>
          <w:szCs w:val="32"/>
          <w:lang w:val="en-US" w:eastAsia="zh-CN" w:bidi="ar"/>
        </w:rPr>
        <w:t>5</w:t>
      </w:r>
      <w:r>
        <w:rPr>
          <w:rFonts w:ascii="仿宋_GB2312" w:hAnsi="宋体" w:eastAsia="仿宋_GB2312" w:cs="仿宋_GB2312"/>
          <w:kern w:val="0"/>
          <w:sz w:val="32"/>
          <w:szCs w:val="32"/>
          <w:lang w:bidi="ar"/>
        </w:rPr>
        <w:t>〕</w:t>
      </w:r>
      <w:r>
        <w:rPr>
          <w:rFonts w:hint="eastAsia" w:ascii="仿宋_GB2312" w:hAnsi="宋体" w:eastAsia="仿宋_GB2312" w:cs="仿宋_GB2312"/>
          <w:kern w:val="0"/>
          <w:sz w:val="32"/>
          <w:szCs w:val="32"/>
          <w:lang w:val="en-US" w:eastAsia="zh-CN" w:bidi="ar"/>
        </w:rPr>
        <w:t>11</w:t>
      </w:r>
      <w:r>
        <w:rPr>
          <w:rFonts w:ascii="仿宋_GB2312" w:hAnsi="宋体" w:eastAsia="仿宋_GB2312" w:cs="仿宋_GB2312"/>
          <w:kern w:val="0"/>
          <w:sz w:val="32"/>
          <w:szCs w:val="32"/>
          <w:lang w:bidi="ar"/>
        </w:rPr>
        <w:t>号</w:t>
      </w:r>
    </w:p>
    <w:p w14:paraId="2C0DB6DE">
      <w:pPr>
        <w:keepNext w:val="0"/>
        <w:keepLines w:val="0"/>
        <w:pageBreakBefore w:val="0"/>
        <w:widowControl/>
        <w:kinsoku/>
        <w:overflowPunct/>
        <w:topLinePunct w:val="0"/>
        <w:autoSpaceDE/>
        <w:autoSpaceDN/>
        <w:bidi w:val="0"/>
        <w:adjustRightInd/>
        <w:snapToGrid/>
        <w:spacing w:line="580" w:lineRule="exact"/>
        <w:jc w:val="center"/>
        <w:textAlignment w:val="auto"/>
        <w:rPr>
          <w:rFonts w:ascii="仿宋_GB2312" w:hAnsi="宋体" w:eastAsia="仿宋_GB2312" w:cs="仿宋_GB2312"/>
          <w:kern w:val="0"/>
          <w:sz w:val="44"/>
          <w:szCs w:val="44"/>
          <w:lang w:bidi="ar"/>
        </w:rPr>
      </w:pPr>
    </w:p>
    <w:p w14:paraId="4DC962CF">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pacing w:val="-20"/>
          <w:kern w:val="0"/>
          <w:sz w:val="44"/>
          <w:szCs w:val="44"/>
          <w:lang w:eastAsia="zh-CN" w:bidi="ar"/>
        </w:rPr>
      </w:pPr>
      <w:r>
        <w:rPr>
          <w:rFonts w:hint="eastAsia" w:ascii="方正小标宋简体" w:hAnsi="方正小标宋简体" w:eastAsia="方正小标宋简体" w:cs="方正小标宋简体"/>
          <w:spacing w:val="-20"/>
          <w:kern w:val="0"/>
          <w:sz w:val="44"/>
          <w:szCs w:val="44"/>
          <w:lang w:eastAsia="zh-CN" w:bidi="ar"/>
        </w:rPr>
        <w:t>龙岩市永定区</w:t>
      </w:r>
      <w:r>
        <w:rPr>
          <w:rFonts w:hint="eastAsia" w:ascii="方正小标宋简体" w:hAnsi="方正小标宋简体" w:eastAsia="方正小标宋简体" w:cs="方正小标宋简体"/>
          <w:spacing w:val="-20"/>
          <w:kern w:val="0"/>
          <w:sz w:val="44"/>
          <w:szCs w:val="44"/>
          <w:lang w:val="en-US" w:eastAsia="zh-CN" w:bidi="ar"/>
        </w:rPr>
        <w:t>金砂镇</w:t>
      </w:r>
      <w:r>
        <w:rPr>
          <w:rFonts w:hint="eastAsia" w:ascii="方正小标宋简体" w:hAnsi="方正小标宋简体" w:eastAsia="方正小标宋简体" w:cs="方正小标宋简体"/>
          <w:spacing w:val="-20"/>
          <w:kern w:val="0"/>
          <w:sz w:val="44"/>
          <w:szCs w:val="44"/>
          <w:lang w:eastAsia="zh-CN" w:bidi="ar"/>
        </w:rPr>
        <w:t>人民政府关于印发</w:t>
      </w:r>
    </w:p>
    <w:p w14:paraId="353DE666">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pacing w:val="-20"/>
          <w:kern w:val="0"/>
          <w:sz w:val="44"/>
          <w:szCs w:val="44"/>
          <w:lang w:eastAsia="zh-CN" w:bidi="ar"/>
        </w:rPr>
      </w:pPr>
      <w:r>
        <w:rPr>
          <w:rFonts w:hint="eastAsia" w:ascii="方正小标宋简体" w:hAnsi="方正小标宋简体" w:eastAsia="方正小标宋简体" w:cs="方正小标宋简体"/>
          <w:spacing w:val="-20"/>
          <w:kern w:val="0"/>
          <w:sz w:val="44"/>
          <w:szCs w:val="44"/>
          <w:lang w:eastAsia="zh-CN" w:bidi="ar"/>
        </w:rPr>
        <w:t>《</w:t>
      </w:r>
      <w:r>
        <w:rPr>
          <w:rFonts w:hint="eastAsia" w:ascii="方正小标宋简体" w:hAnsi="方正小标宋简体" w:eastAsia="方正小标宋简体" w:cs="方正小标宋简体"/>
          <w:spacing w:val="-20"/>
          <w:kern w:val="0"/>
          <w:sz w:val="44"/>
          <w:szCs w:val="44"/>
          <w:lang w:val="en-US" w:eastAsia="zh-CN" w:bidi="ar"/>
        </w:rPr>
        <w:t>2025年金砂镇人民政府普法清单</w:t>
      </w:r>
      <w:r>
        <w:rPr>
          <w:rFonts w:hint="eastAsia" w:ascii="方正小标宋简体" w:hAnsi="方正小标宋简体" w:eastAsia="方正小标宋简体" w:cs="方正小标宋简体"/>
          <w:spacing w:val="-20"/>
          <w:kern w:val="0"/>
          <w:sz w:val="44"/>
          <w:szCs w:val="44"/>
          <w:lang w:eastAsia="zh-CN" w:bidi="ar"/>
        </w:rPr>
        <w:t>》的通知</w:t>
      </w:r>
    </w:p>
    <w:p w14:paraId="37EFA1A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32"/>
          <w:szCs w:val="32"/>
        </w:rPr>
      </w:pPr>
    </w:p>
    <w:p w14:paraId="2E06325F">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各党支部、村委会，</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直（办）各单位：</w:t>
      </w:r>
    </w:p>
    <w:p w14:paraId="3F94C0FA">
      <w:pPr>
        <w:keepNext w:val="0"/>
        <w:keepLines w:val="0"/>
        <w:pageBreakBefore w:val="0"/>
        <w:widowControl/>
        <w:kinsoku/>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sz w:val="32"/>
          <w:szCs w:val="32"/>
        </w:rPr>
        <w:t>2025年是实施“八五”普法规划的总结验收之年，为进一步深入学习宣传习近平法治思想，全面贯彻党的二十届三中全会精神，依照“八五” 普法规划要求，进一步完善和落实“谁执法谁普法”普法责任制，</w:t>
      </w:r>
      <w:r>
        <w:rPr>
          <w:rFonts w:hint="eastAsia" w:ascii="仿宋_GB2312" w:hAnsi="仿宋_GB2312" w:eastAsia="仿宋_GB2312" w:cs="仿宋_GB2312"/>
          <w:kern w:val="0"/>
          <w:sz w:val="32"/>
          <w:szCs w:val="32"/>
          <w:lang w:bidi="ar"/>
        </w:rPr>
        <w:t>现将</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val="en-US" w:eastAsia="zh-CN" w:bidi="ar"/>
        </w:rPr>
        <w:t>2025年金砂镇人民政府普法清单</w:t>
      </w:r>
      <w:r>
        <w:rPr>
          <w:rFonts w:hint="eastAsia" w:ascii="仿宋_GB2312" w:hAnsi="仿宋_GB2312" w:eastAsia="仿宋_GB2312" w:cs="仿宋_GB2312"/>
          <w:kern w:val="0"/>
          <w:sz w:val="32"/>
          <w:szCs w:val="32"/>
          <w:lang w:eastAsia="zh-CN" w:bidi="ar"/>
        </w:rPr>
        <w:t>》印发给你们，请</w:t>
      </w:r>
      <w:r>
        <w:rPr>
          <w:rFonts w:hint="eastAsia" w:ascii="仿宋_GB2312" w:hAnsi="仿宋_GB2312" w:eastAsia="仿宋_GB2312" w:cs="仿宋_GB2312"/>
          <w:kern w:val="0"/>
          <w:sz w:val="32"/>
          <w:szCs w:val="32"/>
          <w:lang w:bidi="ar"/>
        </w:rPr>
        <w:t>结合实际，抓好</w:t>
      </w:r>
      <w:r>
        <w:rPr>
          <w:rFonts w:hint="eastAsia" w:ascii="仿宋_GB2312" w:hAnsi="仿宋_GB2312" w:eastAsia="仿宋_GB2312" w:cs="仿宋_GB2312"/>
          <w:kern w:val="0"/>
          <w:sz w:val="32"/>
          <w:szCs w:val="32"/>
          <w:lang w:eastAsia="zh-CN" w:bidi="ar"/>
        </w:rPr>
        <w:t>贯彻落实</w:t>
      </w:r>
      <w:r>
        <w:rPr>
          <w:rFonts w:hint="eastAsia" w:ascii="仿宋_GB2312" w:hAnsi="仿宋_GB2312" w:eastAsia="仿宋_GB2312" w:cs="仿宋_GB2312"/>
          <w:kern w:val="0"/>
          <w:sz w:val="32"/>
          <w:szCs w:val="32"/>
          <w:lang w:bidi="ar"/>
        </w:rPr>
        <w:t>。</w:t>
      </w:r>
    </w:p>
    <w:p w14:paraId="689E11E6">
      <w:pPr>
        <w:keepNext w:val="0"/>
        <w:keepLines w:val="0"/>
        <w:pageBreakBefore w:val="0"/>
        <w:widowControl/>
        <w:kinsoku/>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0"/>
          <w:sz w:val="32"/>
          <w:szCs w:val="32"/>
          <w:lang w:bidi="ar"/>
        </w:rPr>
      </w:pPr>
    </w:p>
    <w:p w14:paraId="33AF3B21">
      <w:pPr>
        <w:keepNext w:val="0"/>
        <w:keepLines w:val="0"/>
        <w:pageBreakBefore w:val="0"/>
        <w:widowControl/>
        <w:kinsoku/>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0"/>
          <w:sz w:val="32"/>
          <w:szCs w:val="32"/>
          <w:lang w:bidi="ar"/>
        </w:rPr>
      </w:pPr>
    </w:p>
    <w:p w14:paraId="6F517FA1">
      <w:pPr>
        <w:keepNext w:val="0"/>
        <w:keepLines w:val="0"/>
        <w:pageBreakBefore w:val="0"/>
        <w:widowControl/>
        <w:kinsoku/>
        <w:overflowPunct/>
        <w:topLinePunct w:val="0"/>
        <w:autoSpaceDE/>
        <w:autoSpaceDN/>
        <w:bidi w:val="0"/>
        <w:adjustRightInd/>
        <w:snapToGrid/>
        <w:spacing w:line="580" w:lineRule="exact"/>
        <w:ind w:firstLine="5760" w:firstLineChars="18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金砂镇人民政府</w:t>
      </w:r>
    </w:p>
    <w:p w14:paraId="732F730C">
      <w:pPr>
        <w:keepNext w:val="0"/>
        <w:keepLines w:val="0"/>
        <w:pageBreakBefore w:val="0"/>
        <w:widowControl/>
        <w:kinsoku/>
        <w:overflowPunct/>
        <w:topLinePunct w:val="0"/>
        <w:autoSpaceDE/>
        <w:autoSpaceDN/>
        <w:bidi w:val="0"/>
        <w:adjustRightInd/>
        <w:snapToGrid/>
        <w:spacing w:line="580" w:lineRule="exact"/>
        <w:ind w:firstLine="5760" w:firstLineChars="1800"/>
        <w:jc w:val="both"/>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2025年4月30日</w:t>
      </w:r>
    </w:p>
    <w:p w14:paraId="2B4844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2CC7626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tbl>
      <w:tblPr>
        <w:tblW w:w="136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20"/>
        <w:gridCol w:w="2617"/>
        <w:gridCol w:w="959"/>
        <w:gridCol w:w="1846"/>
        <w:gridCol w:w="2504"/>
        <w:gridCol w:w="1951"/>
        <w:gridCol w:w="1200"/>
        <w:gridCol w:w="1920"/>
      </w:tblGrid>
      <w:tr w14:paraId="0ADC0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3237" w:type="dxa"/>
            <w:gridSpan w:val="2"/>
            <w:tcBorders>
              <w:top w:val="nil"/>
              <w:left w:val="nil"/>
              <w:bottom w:val="nil"/>
              <w:right w:val="nil"/>
            </w:tcBorders>
            <w:shd w:val="clear"/>
            <w:noWrap/>
            <w:vAlign w:val="center"/>
          </w:tcPr>
          <w:p w14:paraId="2A536F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附件1：</w:t>
            </w:r>
          </w:p>
        </w:tc>
        <w:tc>
          <w:tcPr>
            <w:tcW w:w="959" w:type="dxa"/>
            <w:tcBorders>
              <w:top w:val="nil"/>
              <w:left w:val="nil"/>
              <w:bottom w:val="nil"/>
              <w:right w:val="nil"/>
            </w:tcBorders>
            <w:shd w:val="clear"/>
            <w:noWrap/>
            <w:vAlign w:val="center"/>
          </w:tcPr>
          <w:p w14:paraId="539258B3">
            <w:pPr>
              <w:jc w:val="center"/>
              <w:rPr>
                <w:rFonts w:hint="eastAsia" w:ascii="宋体" w:hAnsi="宋体" w:eastAsia="宋体" w:cs="宋体"/>
                <w:i w:val="0"/>
                <w:iCs w:val="0"/>
                <w:color w:val="000000"/>
                <w:sz w:val="24"/>
                <w:szCs w:val="24"/>
                <w:u w:val="none"/>
              </w:rPr>
            </w:pPr>
          </w:p>
        </w:tc>
        <w:tc>
          <w:tcPr>
            <w:tcW w:w="1846" w:type="dxa"/>
            <w:tcBorders>
              <w:top w:val="nil"/>
              <w:left w:val="nil"/>
              <w:bottom w:val="nil"/>
              <w:right w:val="nil"/>
            </w:tcBorders>
            <w:shd w:val="clear"/>
            <w:noWrap/>
            <w:vAlign w:val="center"/>
          </w:tcPr>
          <w:p w14:paraId="3A593A72">
            <w:pPr>
              <w:jc w:val="center"/>
              <w:rPr>
                <w:rFonts w:hint="eastAsia" w:ascii="宋体" w:hAnsi="宋体" w:eastAsia="宋体" w:cs="宋体"/>
                <w:i w:val="0"/>
                <w:iCs w:val="0"/>
                <w:color w:val="000000"/>
                <w:sz w:val="24"/>
                <w:szCs w:val="24"/>
                <w:u w:val="none"/>
              </w:rPr>
            </w:pPr>
          </w:p>
        </w:tc>
        <w:tc>
          <w:tcPr>
            <w:tcW w:w="2504" w:type="dxa"/>
            <w:tcBorders>
              <w:top w:val="nil"/>
              <w:left w:val="nil"/>
              <w:bottom w:val="nil"/>
              <w:right w:val="nil"/>
            </w:tcBorders>
            <w:shd w:val="clear"/>
            <w:vAlign w:val="center"/>
          </w:tcPr>
          <w:p w14:paraId="567253B5">
            <w:pPr>
              <w:rPr>
                <w:rFonts w:hint="eastAsia" w:ascii="宋体" w:hAnsi="宋体" w:eastAsia="宋体" w:cs="宋体"/>
                <w:i w:val="0"/>
                <w:iCs w:val="0"/>
                <w:color w:val="000000"/>
                <w:sz w:val="24"/>
                <w:szCs w:val="24"/>
                <w:u w:val="none"/>
              </w:rPr>
            </w:pPr>
          </w:p>
        </w:tc>
        <w:tc>
          <w:tcPr>
            <w:tcW w:w="1951" w:type="dxa"/>
            <w:tcBorders>
              <w:top w:val="nil"/>
              <w:left w:val="nil"/>
              <w:bottom w:val="nil"/>
              <w:right w:val="nil"/>
            </w:tcBorders>
            <w:shd w:val="clear"/>
            <w:vAlign w:val="center"/>
          </w:tcPr>
          <w:p w14:paraId="2FF26014">
            <w:pPr>
              <w:jc w:val="center"/>
              <w:rPr>
                <w:rFonts w:hint="eastAsia" w:ascii="宋体" w:hAnsi="宋体" w:eastAsia="宋体" w:cs="宋体"/>
                <w:i w:val="0"/>
                <w:iCs w:val="0"/>
                <w:color w:val="000000"/>
                <w:sz w:val="24"/>
                <w:szCs w:val="24"/>
                <w:u w:val="none"/>
              </w:rPr>
            </w:pPr>
          </w:p>
        </w:tc>
        <w:tc>
          <w:tcPr>
            <w:tcW w:w="1200" w:type="dxa"/>
            <w:tcBorders>
              <w:top w:val="nil"/>
              <w:left w:val="nil"/>
              <w:bottom w:val="nil"/>
              <w:right w:val="nil"/>
            </w:tcBorders>
            <w:shd w:val="clear"/>
            <w:noWrap/>
            <w:vAlign w:val="center"/>
          </w:tcPr>
          <w:p w14:paraId="6C8CE008">
            <w:pPr>
              <w:jc w:val="center"/>
              <w:rPr>
                <w:rFonts w:hint="eastAsia" w:ascii="宋体" w:hAnsi="宋体" w:eastAsia="宋体" w:cs="宋体"/>
                <w:i w:val="0"/>
                <w:iCs w:val="0"/>
                <w:color w:val="000000"/>
                <w:sz w:val="24"/>
                <w:szCs w:val="24"/>
                <w:u w:val="none"/>
              </w:rPr>
            </w:pPr>
          </w:p>
        </w:tc>
        <w:tc>
          <w:tcPr>
            <w:tcW w:w="1920" w:type="dxa"/>
            <w:tcBorders>
              <w:top w:val="nil"/>
              <w:left w:val="nil"/>
              <w:bottom w:val="nil"/>
              <w:right w:val="nil"/>
            </w:tcBorders>
            <w:shd w:val="clear"/>
            <w:vAlign w:val="center"/>
          </w:tcPr>
          <w:p w14:paraId="5E8C4B53">
            <w:pPr>
              <w:rPr>
                <w:rFonts w:hint="eastAsia" w:ascii="宋体" w:hAnsi="宋体" w:eastAsia="宋体" w:cs="宋体"/>
                <w:i w:val="0"/>
                <w:iCs w:val="0"/>
                <w:color w:val="000000"/>
                <w:sz w:val="24"/>
                <w:szCs w:val="24"/>
                <w:u w:val="none"/>
              </w:rPr>
            </w:pPr>
          </w:p>
        </w:tc>
      </w:tr>
      <w:tr w14:paraId="53B11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13617" w:type="dxa"/>
            <w:gridSpan w:val="8"/>
            <w:tcBorders>
              <w:top w:val="single" w:color="000000" w:sz="4" w:space="0"/>
              <w:left w:val="single" w:color="000000" w:sz="4" w:space="0"/>
              <w:bottom w:val="single" w:color="000000" w:sz="4" w:space="0"/>
              <w:right w:val="single" w:color="000000" w:sz="4" w:space="0"/>
            </w:tcBorders>
            <w:shd w:val="clear"/>
            <w:vAlign w:val="center"/>
          </w:tcPr>
          <w:p w14:paraId="55B76674">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bdr w:val="none" w:color="auto" w:sz="0" w:space="0"/>
                <w:lang w:val="en-US" w:eastAsia="zh-CN" w:bidi="ar"/>
              </w:rPr>
              <w:t xml:space="preserve">2025年龙岩市永定区金砂镇普法责任清单                                                                    </w:t>
            </w:r>
          </w:p>
        </w:tc>
      </w:tr>
      <w:tr w14:paraId="48095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13617" w:type="dxa"/>
            <w:gridSpan w:val="8"/>
            <w:tcBorders>
              <w:top w:val="single" w:color="000000" w:sz="4" w:space="0"/>
              <w:left w:val="single" w:color="000000" w:sz="4" w:space="0"/>
              <w:bottom w:val="single" w:color="000000" w:sz="4" w:space="0"/>
              <w:right w:val="single" w:color="000000" w:sz="4" w:space="0"/>
            </w:tcBorders>
            <w:shd w:val="clear"/>
            <w:noWrap/>
            <w:vAlign w:val="center"/>
          </w:tcPr>
          <w:p w14:paraId="20A80E6F">
            <w:pPr>
              <w:keepNext w:val="0"/>
              <w:keepLines w:val="0"/>
              <w:widowControl/>
              <w:suppressLineNumbers w:val="0"/>
              <w:jc w:val="left"/>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bdr w:val="none" w:color="auto" w:sz="0" w:space="0"/>
                <w:lang w:val="en-US" w:eastAsia="zh-CN" w:bidi="ar"/>
              </w:rPr>
              <w:t>单位：永定区金砂镇人民政府                                                                                2025年4月30日</w:t>
            </w:r>
          </w:p>
        </w:tc>
      </w:tr>
      <w:tr w14:paraId="234BA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797373F8">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bdr w:val="none" w:color="auto" w:sz="0" w:space="0"/>
                <w:lang w:val="en-US" w:eastAsia="zh-CN" w:bidi="ar"/>
              </w:rPr>
              <w:t>序号</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763F916D">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bdr w:val="none" w:color="auto" w:sz="0" w:space="0"/>
                <w:lang w:val="en-US" w:eastAsia="zh-CN" w:bidi="ar"/>
              </w:rPr>
              <w:t>普及的法律法规规章</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6AA92ACB">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bdr w:val="none" w:color="auto" w:sz="0" w:space="0"/>
                <w:lang w:val="en-US" w:eastAsia="zh-CN" w:bidi="ar"/>
              </w:rPr>
              <w:t>责任领导</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48B22CE7">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bdr w:val="none" w:color="auto" w:sz="0" w:space="0"/>
                <w:lang w:val="en-US" w:eastAsia="zh-CN" w:bidi="ar"/>
              </w:rPr>
              <w:t>责任站所</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7A11F78F">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bdr w:val="none" w:color="auto" w:sz="0" w:space="0"/>
                <w:lang w:val="en-US" w:eastAsia="zh-CN" w:bidi="ar"/>
              </w:rPr>
              <w:t>具体普法内容</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21ED92F4">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bdr w:val="none" w:color="auto" w:sz="0" w:space="0"/>
                <w:lang w:val="en-US" w:eastAsia="zh-CN" w:bidi="ar"/>
              </w:rPr>
              <w:t>普法对象</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1291C540">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bdr w:val="none" w:color="auto" w:sz="0" w:space="0"/>
                <w:lang w:val="en-US" w:eastAsia="zh-CN" w:bidi="ar"/>
              </w:rPr>
              <w:t>实施时间</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FA1347A">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bdr w:val="none" w:color="auto" w:sz="0" w:space="0"/>
                <w:lang w:val="en-US" w:eastAsia="zh-CN" w:bidi="ar"/>
              </w:rPr>
              <w:t>具体措施</w:t>
            </w:r>
          </w:p>
        </w:tc>
      </w:tr>
      <w:tr w14:paraId="6AC21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9"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03F59B23">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5E5E316E">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《习近平法治思想学习纲要》《习近平法治思想学习问答》《论坚持全面依法治国》</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43FEDE15">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李春书     王菁颖</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75695F60">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宣传办</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412B016C">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深入、系统学习习近平总书记关于全面依法治国的一系列重要论述和重要观点。</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5EE46231">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全体干部职工</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686BC04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一年2次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4EEBD0E">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列为党委理论学习中心组的重点内容，组织党员干部每年专题学习</w:t>
            </w:r>
          </w:p>
        </w:tc>
      </w:tr>
      <w:tr w14:paraId="08F3F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6"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50E483C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2</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2E3D527D">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《习近平法治思想》《保守国家秘密法》《党政机关公文处理工作条例》《政府信息公开条例》等法律法规规章</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1DE51E46">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吕丽红</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34BB37F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党政办</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6CF3E193">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学习习近平法治思想，学习政务办公中关于保密、公文处理、信息公开等各项规定。</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291FE1E5">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全体领导干部</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06558929">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5647F30">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每年在九月份左右召开专题学习</w:t>
            </w:r>
          </w:p>
        </w:tc>
      </w:tr>
      <w:tr w14:paraId="27E60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0A7805AD">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3</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5F5FD1F4">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《党政主要负责人履行推进法治建设第一责任人职责规定》</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5AD8CA2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李春书     王菁颖</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0A557FF5">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宣传办</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77222D58">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学习规定对党政主要负责人履行推进法治建设第一责任人职责的具体要求</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1449DCD9">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党政领导班子成员</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2408158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2E742D4">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列为党委理论学习中心组的重点内容</w:t>
            </w:r>
          </w:p>
        </w:tc>
      </w:tr>
      <w:tr w14:paraId="3E136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52"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4A637A4D">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4</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29284D01">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《监察法》《中国共产党问责条例》《中国共产党纪律处分条例》《中国共产党廉洁自律准则》《公职人员政务处分法》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50213F51">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沈照鹏</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06CF0801">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纪检监察</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6323AE44">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学习法律和党内法规对干部失职失责的各类情形及相关处分种类，督促公职人员廉洁从政、依法履职。</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3321760F">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全镇干部职工</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2B281A6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一年开展一次以上</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293C8DC">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通过专题学习或自学的形式开展</w:t>
            </w:r>
          </w:p>
        </w:tc>
      </w:tr>
      <w:tr w14:paraId="13E96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6EA8FD4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5</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01E86FE0">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《宪法》《民法典》《劳动法》《就业促进法》中关于妇女权益保护等法律法规规章、《妇女权益保障法》《反家庭暴力法》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7797FF56">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张燕红</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王菁颖</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069BD26A">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司法所</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妇联</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关工委</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25534BCC">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学习妇女的政治权利、文化教育、劳动和社会保障、财产、人身权利、婚姻家庭等方面应受到的保护</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1CAD68D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全镇干部职工</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青少年学生</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7A333853">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 xml:space="preserve">一年3次 </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D8E22FF">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 xml:space="preserve">“3·8”  </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“开学第一课”在重要节日结合“法律七进”开展宣传</w:t>
            </w:r>
          </w:p>
        </w:tc>
      </w:tr>
      <w:tr w14:paraId="46720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02F2109C">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6</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17B4E422">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《民法典》《反不正当竞争法》《产品质量法》《广告法》《食品安全法》《价格法》《个人信息保护法》中关于消费者权益保护的相关规定</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185EA99F">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谢添松</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王菁颖</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5AC4EC9C">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司法所</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市场监管所</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5242B7B0">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学习有关于消费者各方面相关权益保护。</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3AAE922A">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全镇干部职工</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1EEEA232">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E8F8564">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在3月15日前后，结合“法律七进”开展上街宣传</w:t>
            </w:r>
          </w:p>
        </w:tc>
      </w:tr>
      <w:tr w14:paraId="30548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6"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4AF0C516">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7</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271EAC20">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《民法典》《刑法》《劳动法》中有关未成年人保护的相关规定、《未成年人保护法》《义务教育法》《预防未成年犯罪法》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75515D7F">
            <w:pPr>
              <w:keepNext w:val="0"/>
              <w:keepLines w:val="0"/>
              <w:widowControl/>
              <w:suppressLineNumbers w:val="0"/>
              <w:spacing w:after="210" w:afterAutospacing="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张燕红</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王菁颖</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7D4156B1">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司法所</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妇联</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关工委</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团委</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74B9C392">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有关于对未成年在生活、就业、就学等各方面相关权益保护。</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78B820FC">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全镇干部职工</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青少年学生</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119E04AA">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一年2次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076EE64">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在每年开学利用“开学第一课”的契机开展专题教育</w:t>
            </w:r>
          </w:p>
        </w:tc>
      </w:tr>
      <w:tr w14:paraId="1E0E3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706A152D">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8</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5D29F6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《国家安全法》《数据安全法》《反分裂国家法》《反恐怖主义法》《反间谍法》《国家情报法》《网络安全法》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20DA18E2">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吴树华</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717CFDCF">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社会治理综合办（政法）</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2105BA05">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公众了解有关于国家安全的相关法律</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467EC2BC">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47B8D992">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4DDC33E">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“4·15”全民国家安全教育日通过发放宣传材料，张贴海报等形式宣传</w:t>
            </w:r>
          </w:p>
        </w:tc>
      </w:tr>
      <w:tr w14:paraId="29169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4"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51AE0AD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9</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2FC12733">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《商标法》《专利法》《著作权法》等知识产权相关法律法规</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75AB5C81">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郑芳艳</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6C197A66">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经济发展办（文化旅游发展）</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1484C6E8">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宣传有关于知识产权的保护相关法律，鼓励创新和创造</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42435C88">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5C0F759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41AB825">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4月26日是世界知识产权日，通过发放宣传材料的形式宣传</w:t>
            </w:r>
          </w:p>
        </w:tc>
      </w:tr>
      <w:tr w14:paraId="3B58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8"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273DA07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10</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460017DB">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《民法典》《人民调解法》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0A313889">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王菁颖</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77020B8C">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司法所</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7635628F">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了解有《民法典》中关于与群众日常生活息息相关的法律规定</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1A5548F8">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443FDFC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DC21DBF">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5月“美好生活·民法典相伴”宣传月活动，通过发放宣传材料等形式宣传</w:t>
            </w:r>
          </w:p>
        </w:tc>
      </w:tr>
      <w:tr w14:paraId="249F3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50226F9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11</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0EFF1F44">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《劳动合同法》《劳动法》《社会保险法》《劳动争议调解仲裁法》《就业促进法》《职业病防治法》《保障农民工工资支付条例》</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34282939">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吴树华</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郑芳艳</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20FD9F5C">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社会事务综合办（劳保）</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工会</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1B151A1F">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学习有关于对劳动者在就业方面相关权益保护。</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625F22A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33F02B13">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4A0A463">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5月1日为国际劳动节，在劳动节前后通过发放宣传单的形式进行宣传。</w:t>
            </w:r>
          </w:p>
        </w:tc>
      </w:tr>
      <w:tr w14:paraId="58816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5"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73BBF668">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bookmarkStart w:id="0" w:name="_GoBack" w:colFirst="6" w:colLast="7"/>
            <w:r>
              <w:rPr>
                <w:rFonts w:hint="eastAsia" w:ascii="仿宋_GB2312" w:hAnsi="宋体" w:eastAsia="仿宋_GB2312" w:cs="仿宋_GB2312"/>
                <w:i w:val="0"/>
                <w:iCs w:val="0"/>
                <w:color w:val="000000"/>
                <w:kern w:val="0"/>
                <w:sz w:val="21"/>
                <w:szCs w:val="21"/>
                <w:u w:val="none"/>
                <w:bdr w:val="none" w:color="auto" w:sz="0" w:space="0"/>
                <w:lang w:val="en-US" w:eastAsia="zh-CN" w:bidi="ar"/>
              </w:rPr>
              <w:t>12</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54BE5EAC">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《环境保护法》《野生动物保护法》《森林法》《大气污染防治法》《固体废物污染环境防治法》《水污染防治法》《土壤污染防治法》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61A435A6">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吴树华          江良增</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20E6764F">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社会治理综合办（生态环境）</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林业站</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经济发展办          （畜牧水产）</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司法所</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34FEA9EE">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有关于环境资源保护的相关规定</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292F816A">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77FD1E9F">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5FDD91E">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6月5日为世界环境日，通过发放宣传单的形式进行宣传。</w:t>
            </w:r>
          </w:p>
        </w:tc>
      </w:tr>
      <w:bookmarkEnd w:id="0"/>
      <w:tr w14:paraId="090E9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3"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53361F2D">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13</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08E57FCB">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《安全生产法》《消防法》《道路交通安全法》《食品安全法》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5900778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 xml:space="preserve">吴树华       卢  威          谢添松          </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77B58871">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社会治理综合办（应急安全）</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社会治理综合办（交通运输）</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0BEBA781">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有关于安全生产的相关规定</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46DC343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全镇干部职工</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47CB746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814E708">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每年6月为安全生产月，通过集中宣传的方式开展宣传</w:t>
            </w:r>
          </w:p>
        </w:tc>
      </w:tr>
      <w:tr w14:paraId="56C39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33"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131C3100">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14</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0B293555">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《刑法》《治安管理处罚法》中娱乐场所管理条例有关于禁毒的相关法律、《禁毒法》《戒毒条例》《麻醉药品和精神药品管理条例》《易制毒化学品管理条例》</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597222E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吴树华             卢  威</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11504C3D">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社会治理综合办（政法）</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5D6469C9">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有关于禁毒的相关规定</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4778F80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全镇干部职工</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0C0F0E1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55D69B7">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每年6月26日为国际禁毒日，通过集中宣传的方式开展宣传</w:t>
            </w:r>
          </w:p>
        </w:tc>
      </w:tr>
      <w:tr w14:paraId="03C6A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72"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173D4FA5">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15</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1DD54519">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《社区矫正法》《社区矫正法实施办法》《福建省&lt;中华人民共和国社区矫正法&gt;实施细则》</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73FB4EFE">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王菁颖</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749F9EA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司法所</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7BEFCC3B">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有关于社区矫正的相关规定</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4749119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社区矫正对象</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268617CF">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一年2次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73B4655">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7月份通过集中教育的形式对社区矫正对象进行普法</w:t>
            </w:r>
          </w:p>
        </w:tc>
      </w:tr>
      <w:tr w14:paraId="13314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071288C6">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16</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757F05DB">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《乡村振兴促进法》《集体经济组织法》《村民委员会组织法》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23031DCD">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吕丽红</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郑芳艳</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0D1C150A">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经济发展办         （乡村振兴）</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社会事务综合办（民政）</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65DD07C9">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有关于乡村振兴、集体经济组织成员权益保护、村集体换届选举的相关规定</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66AE4689">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有关于乡村振兴、集体经济组织成员权益保护、村集体换届选举的相关规定</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3FBC838A">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040E88DB">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结合重要时间节点开展集中宣传</w:t>
            </w:r>
          </w:p>
        </w:tc>
      </w:tr>
      <w:tr w14:paraId="4DB3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5809D083">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17</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375586E4">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《刑法》中关于军人保护的相关规定及《兵役法》《国防法》《退役军人保障法》《军人地位和权益保障法》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74C9D90F">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唐宏开</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310D8338">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武装部</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退役军人服务站</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3D69E563">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有关于现役军人、退役军人权益保护的相关法律</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19100575">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全镇干部职工</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018201BA">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 xml:space="preserve">一年3次 </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2992AB99">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每年征兵前后、退役节点前后，8月1日建军节，结合重要时间节点开展集中宣传</w:t>
            </w:r>
          </w:p>
        </w:tc>
      </w:tr>
      <w:tr w14:paraId="795B7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00582D32">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18</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536C7020">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《农业法》《农村土地承包法》《畜牧法》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7F0F99BE">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吕丽红</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593BAEB5">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经济发展办         （农业农村）</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2BEF79DA">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有关于农业、农村、农民起到重要保护作用的法律：</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4DB94B4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381EC9A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535EF018">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通过发放宣传单的方式开展</w:t>
            </w:r>
          </w:p>
        </w:tc>
      </w:tr>
      <w:tr w14:paraId="1AF95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594955E3">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19</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65DF9B09">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《反有组织犯罪法》《反电信网络诈骗法》《铁路法》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3078D67A">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吴树华</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16F75FED">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社会治理综合办（政法）</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261DA021">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有关于扫黑除恶、打击电信网络诈骗、铁路保护等相关法律</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25828E0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021A3828">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BA39A98">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通过发放宣传单的方式开展</w:t>
            </w:r>
          </w:p>
        </w:tc>
      </w:tr>
      <w:tr w14:paraId="1ED36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6A62D681">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20</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2C4508D5">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《刑法》中关于放火罪的规定、《森林法》《森林防火条例》</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17C53C52">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江良增</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66D6103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林业站</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4F531B08">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有关于森林资源保护的相关法律、法规</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68056860">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7E38F12D">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1FD2F33">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通过发放宣传单的方式开展</w:t>
            </w:r>
          </w:p>
        </w:tc>
      </w:tr>
      <w:tr w14:paraId="4205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6"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21E165F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21</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4DC831D1">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《刑法》涉及疫情防控的相关罪治安管理处罚法中关于疫情防控期间一些违反治安管理的行为进行处罚、《传染病防治法》《突发事件应对法》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3E5F7F42">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郑芳艳</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6FC1D226">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社会事务综合办（卫生健康）</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4D2206F9">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有关于疫情防控、突发事件处理的相关法律、法规</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6543B35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242DA9E8">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D43395C">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结合重要时间节点通过发放宣传单的方式开展</w:t>
            </w:r>
          </w:p>
        </w:tc>
      </w:tr>
      <w:tr w14:paraId="2DDF8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9"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18D3109B">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22</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13CADCB3">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《环境保护法》中对水环境保护的基本原则和制度，《水法》《水污染防治法》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3FCC8408">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李春书</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280EAC05">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自然资源</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生态环境办          （水利）</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5FCE7053">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有关于水资源、水环境保护的相关法律法规规章</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29E83DBF">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4483185C">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3D610B88">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结合重要时间节点通过发放宣传单</w:t>
            </w:r>
          </w:p>
        </w:tc>
      </w:tr>
      <w:tr w14:paraId="5F338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733"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0C52B63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23</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7765E0B3">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《土地管理法》《矿产资源法》《基本农田保护条例》《土地管理法实施条例》《土地权属争议调查处理办法》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536E657F">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江良增</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吕丽红</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66B07F7E">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自然资源所</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经济发展办            （农业农村）</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5FAA9364">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有关于我国国土资源、矿产资源保护和利用的相关法律法规规章</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4D88346A">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5BE68591">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12054135">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结合重要时间节点通过发放宣传单的方式开展</w:t>
            </w:r>
          </w:p>
        </w:tc>
      </w:tr>
      <w:tr w14:paraId="1D252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4"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3D89A8AC">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24</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0CD39A4F">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《刑法》中涉及到消防的相关罪名和处罚、《消防法》《建筑法》《安全生产法》《突发事件应对法》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4D144937">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谢添松</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3A750A12">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社会治理综合办（应急安全）</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0DB49C3D">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有关于消防安全管理、预防和减少火灾事故的消防法律法规规章</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41516265">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618FE07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618F0BCC">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11月9日为全国消防日结合重要时间节点通过发放宣传单的方式开展</w:t>
            </w:r>
          </w:p>
        </w:tc>
      </w:tr>
      <w:tr w14:paraId="1CE0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80" w:hRule="atLeast"/>
        </w:trPr>
        <w:tc>
          <w:tcPr>
            <w:tcW w:w="620" w:type="dxa"/>
            <w:tcBorders>
              <w:top w:val="single" w:color="000000" w:sz="4" w:space="0"/>
              <w:left w:val="single" w:color="000000" w:sz="4" w:space="0"/>
              <w:bottom w:val="single" w:color="000000" w:sz="4" w:space="0"/>
              <w:right w:val="single" w:color="000000" w:sz="4" w:space="0"/>
            </w:tcBorders>
            <w:shd w:val="clear"/>
            <w:vAlign w:val="center"/>
          </w:tcPr>
          <w:p w14:paraId="729521E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25</w:t>
            </w:r>
          </w:p>
        </w:tc>
        <w:tc>
          <w:tcPr>
            <w:tcW w:w="2617" w:type="dxa"/>
            <w:tcBorders>
              <w:top w:val="single" w:color="000000" w:sz="4" w:space="0"/>
              <w:left w:val="single" w:color="000000" w:sz="4" w:space="0"/>
              <w:bottom w:val="single" w:color="000000" w:sz="4" w:space="0"/>
              <w:right w:val="single" w:color="000000" w:sz="4" w:space="0"/>
            </w:tcBorders>
            <w:shd w:val="clear"/>
            <w:vAlign w:val="center"/>
          </w:tcPr>
          <w:p w14:paraId="6910DEF0">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《宪法》《法律援助法》</w:t>
            </w:r>
          </w:p>
        </w:tc>
        <w:tc>
          <w:tcPr>
            <w:tcW w:w="959" w:type="dxa"/>
            <w:tcBorders>
              <w:top w:val="single" w:color="000000" w:sz="4" w:space="0"/>
              <w:left w:val="single" w:color="000000" w:sz="4" w:space="0"/>
              <w:bottom w:val="single" w:color="000000" w:sz="4" w:space="0"/>
              <w:right w:val="single" w:color="000000" w:sz="4" w:space="0"/>
            </w:tcBorders>
            <w:shd w:val="clear"/>
            <w:vAlign w:val="center"/>
          </w:tcPr>
          <w:p w14:paraId="68C4D793">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王菁颖</w:t>
            </w:r>
          </w:p>
        </w:tc>
        <w:tc>
          <w:tcPr>
            <w:tcW w:w="1846" w:type="dxa"/>
            <w:tcBorders>
              <w:top w:val="single" w:color="000000" w:sz="4" w:space="0"/>
              <w:left w:val="single" w:color="000000" w:sz="4" w:space="0"/>
              <w:bottom w:val="single" w:color="000000" w:sz="4" w:space="0"/>
              <w:right w:val="single" w:color="000000" w:sz="4" w:space="0"/>
            </w:tcBorders>
            <w:shd w:val="clear"/>
            <w:vAlign w:val="center"/>
          </w:tcPr>
          <w:p w14:paraId="7534C70D">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司法所</w:t>
            </w:r>
          </w:p>
        </w:tc>
        <w:tc>
          <w:tcPr>
            <w:tcW w:w="2504" w:type="dxa"/>
            <w:tcBorders>
              <w:top w:val="single" w:color="000000" w:sz="4" w:space="0"/>
              <w:left w:val="single" w:color="000000" w:sz="4" w:space="0"/>
              <w:bottom w:val="single" w:color="000000" w:sz="4" w:space="0"/>
              <w:right w:val="single" w:color="000000" w:sz="4" w:space="0"/>
            </w:tcBorders>
            <w:shd w:val="clear"/>
            <w:vAlign w:val="center"/>
          </w:tcPr>
          <w:p w14:paraId="7B33C523">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有关于宪法、及法律援助的法律</w:t>
            </w:r>
          </w:p>
        </w:tc>
        <w:tc>
          <w:tcPr>
            <w:tcW w:w="1951" w:type="dxa"/>
            <w:tcBorders>
              <w:top w:val="single" w:color="000000" w:sz="4" w:space="0"/>
              <w:left w:val="single" w:color="000000" w:sz="4" w:space="0"/>
              <w:bottom w:val="single" w:color="000000" w:sz="4" w:space="0"/>
              <w:right w:val="single" w:color="000000" w:sz="4" w:space="0"/>
            </w:tcBorders>
            <w:shd w:val="clear"/>
            <w:vAlign w:val="center"/>
          </w:tcPr>
          <w:p w14:paraId="7CBF5179">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社会公众</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750960D4">
            <w:pPr>
              <w:keepNext w:val="0"/>
              <w:keepLines w:val="0"/>
              <w:widowControl/>
              <w:suppressLineNumbers w:val="0"/>
              <w:jc w:val="center"/>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一年1次</w:t>
            </w:r>
          </w:p>
        </w:tc>
        <w:tc>
          <w:tcPr>
            <w:tcW w:w="1920" w:type="dxa"/>
            <w:tcBorders>
              <w:top w:val="single" w:color="000000" w:sz="4" w:space="0"/>
              <w:left w:val="single" w:color="000000" w:sz="4" w:space="0"/>
              <w:bottom w:val="single" w:color="000000" w:sz="4" w:space="0"/>
              <w:right w:val="single" w:color="000000" w:sz="4" w:space="0"/>
            </w:tcBorders>
            <w:shd w:val="clear"/>
            <w:vAlign w:val="center"/>
          </w:tcPr>
          <w:p w14:paraId="7EF7B3CF">
            <w:pPr>
              <w:keepNext w:val="0"/>
              <w:keepLines w:val="0"/>
              <w:widowControl/>
              <w:suppressLineNumbers w:val="0"/>
              <w:jc w:val="left"/>
              <w:textAlignment w:val="center"/>
              <w:rPr>
                <w:rFonts w:hint="eastAsia" w:ascii="仿宋_GB2312" w:hAnsi="宋体"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 xml:space="preserve"> 12 月 4 日国家宪法日前后的一周时间作专题宣传</w:t>
            </w:r>
          </w:p>
        </w:tc>
      </w:tr>
    </w:tbl>
    <w:p w14:paraId="3C588C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152CC"/>
    <w:rsid w:val="13081108"/>
    <w:rsid w:val="138C54D3"/>
    <w:rsid w:val="16AF20A8"/>
    <w:rsid w:val="18925339"/>
    <w:rsid w:val="24155071"/>
    <w:rsid w:val="2AB6452C"/>
    <w:rsid w:val="2E1D1955"/>
    <w:rsid w:val="32ED3F52"/>
    <w:rsid w:val="39CE2E41"/>
    <w:rsid w:val="57C15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199</Words>
  <Characters>216</Characters>
  <Lines>0</Lines>
  <Paragraphs>0</Paragraphs>
  <TotalTime>17</TotalTime>
  <ScaleCrop>false</ScaleCrop>
  <LinksUpToDate>false</LinksUpToDate>
  <CharactersWithSpaces>217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2025-04-23T03:23:00Z</dcterms:created>
  <dc:creator>心缘</dc:creator>
  <cp:lastModifiedBy>果果</cp:lastModifiedBy>
  <cp:lastPrinted>2025-05-06T07:14:00Z</cp:lastPrinted>
  <dcterms:modified xsi:type="dcterms:W3CDTF">2025-05-06T07:25:36Z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BF54E2AB661D45E7AA688ED8C3009642_11</vt:lpwstr>
  </property>
  <property fmtid="{D5CDD505-2E9C-101B-9397-08002B2CF9AE}" pid="4" name="KSOTemplateDocerSaveRecord">
    <vt:lpwstr>eyJoZGlkIjoiZjFiMjU2MWE3NjUzMjYyNTM0ZDFkY2Y1YzBlMzBjNDYiLCJ1c2VySWQiOiI5NzUzNjQ5MjYifQ==</vt:lpwstr>
  </property>
</Properties>
</file>