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jc w:val="center"/>
        <w:textAlignment w:val="auto"/>
        <w:rPr>
          <w:rFonts w:hint="eastAsia" w:ascii="方正小标宋简体" w:hAnsi="微软雅黑" w:eastAsia="方正小标宋简体" w:cs="微软雅黑"/>
          <w:b w:val="0"/>
          <w:bCs/>
          <w:color w:val="000000" w:themeColor="text1"/>
          <w:sz w:val="44"/>
          <w:szCs w:val="44"/>
          <w:shd w:val="clear" w:color="auto" w:fill="FFFFFF"/>
          <w14:textFill>
            <w14:solidFill>
              <w14:schemeClr w14:val="tx1"/>
            </w14:solidFill>
          </w14:textFill>
        </w:rPr>
      </w:pPr>
    </w:p>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jc w:val="center"/>
        <w:textAlignment w:val="auto"/>
        <w:rPr>
          <w:rFonts w:hint="eastAsia" w:ascii="方正小标宋简体" w:hAnsi="微软雅黑" w:eastAsia="方正小标宋简体" w:cs="微软雅黑"/>
          <w:b w:val="0"/>
          <w:bCs/>
          <w:color w:val="000000" w:themeColor="text1"/>
          <w:sz w:val="44"/>
          <w:szCs w:val="44"/>
          <w:shd w:val="clear" w:color="auto" w:fill="FFFFFF"/>
          <w14:textFill>
            <w14:solidFill>
              <w14:schemeClr w14:val="tx1"/>
            </w14:solidFill>
          </w14:textFill>
        </w:rPr>
      </w:pPr>
    </w:p>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jc w:val="center"/>
        <w:textAlignment w:val="auto"/>
        <w:rPr>
          <w:rFonts w:hint="eastAsia" w:ascii="方正小标宋简体" w:hAnsi="微软雅黑" w:eastAsia="方正小标宋简体" w:cs="微软雅黑"/>
          <w:b w:val="0"/>
          <w:bCs/>
          <w:color w:val="000000" w:themeColor="text1"/>
          <w:sz w:val="44"/>
          <w:szCs w:val="44"/>
          <w:shd w:val="clear" w:color="auto" w:fill="FFFFFF"/>
          <w14:textFill>
            <w14:solidFill>
              <w14:schemeClr w14:val="tx1"/>
            </w14:solidFill>
          </w14:textFill>
        </w:rPr>
      </w:pPr>
    </w:p>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jc w:val="center"/>
        <w:textAlignment w:val="auto"/>
        <w:rPr>
          <w:rFonts w:hint="eastAsia" w:ascii="方正小标宋简体" w:hAnsi="微软雅黑" w:eastAsia="方正小标宋简体" w:cs="微软雅黑"/>
          <w:b w:val="0"/>
          <w:bCs/>
          <w:color w:val="000000" w:themeColor="text1"/>
          <w:sz w:val="44"/>
          <w:szCs w:val="44"/>
          <w:shd w:val="clear" w:color="auto" w:fill="FFFFFF"/>
          <w14:textFill>
            <w14:solidFill>
              <w14:schemeClr w14:val="tx1"/>
            </w14:solidFill>
          </w14:textFill>
        </w:rPr>
      </w:pPr>
    </w:p>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jc w:val="center"/>
        <w:textAlignment w:val="auto"/>
        <w:rPr>
          <w:rFonts w:hint="eastAsia" w:ascii="方正小标宋简体" w:hAnsi="微软雅黑" w:eastAsia="方正小标宋简体" w:cs="微软雅黑"/>
          <w:b w:val="0"/>
          <w:bCs/>
          <w:color w:val="000000" w:themeColor="text1"/>
          <w:sz w:val="44"/>
          <w:szCs w:val="44"/>
          <w:shd w:val="clear" w:color="auto" w:fill="FFFFFF"/>
          <w14:textFill>
            <w14:solidFill>
              <w14:schemeClr w14:val="tx1"/>
            </w14:solidFill>
          </w14:textFill>
        </w:rPr>
      </w:pPr>
    </w:p>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jc w:val="center"/>
        <w:textAlignment w:val="auto"/>
        <w:rPr>
          <w:rFonts w:hint="eastAsia" w:ascii="方正小标宋简体" w:hAnsi="微软雅黑" w:eastAsia="方正小标宋简体" w:cs="微软雅黑"/>
          <w:b w:val="0"/>
          <w:bCs/>
          <w:color w:val="000000" w:themeColor="text1"/>
          <w:sz w:val="44"/>
          <w:szCs w:val="44"/>
          <w:shd w:val="clear" w:color="auto" w:fill="FFFFFF"/>
          <w14:textFill>
            <w14:solidFill>
              <w14:schemeClr w14:val="tx1"/>
            </w14:solidFill>
          </w14:textFill>
        </w:rPr>
      </w:pPr>
    </w:p>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jc w:val="both"/>
        <w:textAlignment w:val="auto"/>
        <w:rPr>
          <w:rFonts w:hint="eastAsia" w:ascii="方正小标宋简体" w:hAnsi="微软雅黑" w:eastAsia="方正小标宋简体" w:cs="微软雅黑"/>
          <w:b w:val="0"/>
          <w:bCs/>
          <w:color w:val="000000" w:themeColor="text1"/>
          <w:sz w:val="15"/>
          <w:szCs w:val="15"/>
          <w:shd w:val="clear" w:color="auto" w:fill="FFFFFF"/>
          <w14:textFill>
            <w14:solidFill>
              <w14:schemeClr w14:val="tx1"/>
            </w14:solidFill>
          </w14:textFill>
        </w:rPr>
      </w:pPr>
    </w:p>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jc w:val="center"/>
        <w:textAlignment w:val="auto"/>
        <w:rPr>
          <w:rFonts w:hint="eastAsia" w:ascii="仿宋_GB2312" w:hAnsi="仿宋_GB2312" w:eastAsia="仿宋_GB2312" w:cs="仿宋_GB2312"/>
          <w:b w:val="0"/>
          <w:bCs/>
          <w:color w:val="000000" w:themeColor="text1"/>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shd w:val="clear" w:color="auto" w:fill="FFFFFF"/>
          <w:lang w:val="en-US" w:eastAsia="zh-CN"/>
          <w14:textFill>
            <w14:solidFill>
              <w14:schemeClr w14:val="tx1"/>
            </w14:solidFill>
          </w14:textFill>
        </w:rPr>
        <w:t>金政〔2025〕1 号</w:t>
      </w:r>
    </w:p>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jc w:val="both"/>
        <w:textAlignment w:val="auto"/>
        <w:rPr>
          <w:rFonts w:hint="eastAsia" w:ascii="方正小标宋简体" w:hAnsi="微软雅黑" w:eastAsia="方正小标宋简体" w:cs="微软雅黑"/>
          <w:b w:val="0"/>
          <w:bCs/>
          <w:color w:val="000000" w:themeColor="text1"/>
          <w:sz w:val="44"/>
          <w:szCs w:val="44"/>
          <w:shd w:val="clear" w:color="auto" w:fill="FFFFFF"/>
          <w14:textFill>
            <w14:solidFill>
              <w14:schemeClr w14:val="tx1"/>
            </w14:solidFill>
          </w14:textFill>
        </w:rPr>
      </w:pPr>
    </w:p>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jc w:val="center"/>
        <w:textAlignment w:val="auto"/>
        <w:rPr>
          <w:rFonts w:hint="eastAsia" w:ascii="方正小标宋简体" w:hAnsi="微软雅黑" w:eastAsia="方正小标宋简体" w:cs="微软雅黑"/>
          <w:b w:val="0"/>
          <w:bCs/>
          <w:color w:val="000000" w:themeColor="text1"/>
          <w:sz w:val="44"/>
          <w:szCs w:val="44"/>
          <w:shd w:val="clear" w:color="auto" w:fill="FFFFFF"/>
          <w14:textFill>
            <w14:solidFill>
              <w14:schemeClr w14:val="tx1"/>
            </w14:solidFill>
          </w14:textFill>
        </w:rPr>
      </w:pPr>
      <w:r>
        <w:rPr>
          <w:rFonts w:hint="eastAsia" w:ascii="方正小标宋简体" w:hAnsi="微软雅黑" w:eastAsia="方正小标宋简体" w:cs="微软雅黑"/>
          <w:b w:val="0"/>
          <w:bCs/>
          <w:color w:val="000000" w:themeColor="text1"/>
          <w:sz w:val="44"/>
          <w:szCs w:val="44"/>
          <w:shd w:val="clear" w:color="auto" w:fill="FFFFFF"/>
          <w14:textFill>
            <w14:solidFill>
              <w14:schemeClr w14:val="tx1"/>
            </w14:solidFill>
          </w14:textFill>
        </w:rPr>
        <w:t>永定区</w:t>
      </w:r>
      <w:r>
        <w:rPr>
          <w:rFonts w:hint="eastAsia" w:ascii="方正小标宋简体" w:hAnsi="微软雅黑" w:eastAsia="方正小标宋简体" w:cs="微软雅黑"/>
          <w:b w:val="0"/>
          <w:bCs/>
          <w:color w:val="000000" w:themeColor="text1"/>
          <w:sz w:val="44"/>
          <w:szCs w:val="44"/>
          <w:shd w:val="clear" w:color="auto" w:fill="FFFFFF"/>
          <w:lang w:eastAsia="zh-CN"/>
          <w14:textFill>
            <w14:solidFill>
              <w14:schemeClr w14:val="tx1"/>
            </w14:solidFill>
          </w14:textFill>
        </w:rPr>
        <w:t>金砂</w:t>
      </w:r>
      <w:r>
        <w:rPr>
          <w:rFonts w:hint="eastAsia" w:ascii="方正小标宋简体" w:hAnsi="微软雅黑" w:eastAsia="方正小标宋简体" w:cs="微软雅黑"/>
          <w:b w:val="0"/>
          <w:bCs/>
          <w:color w:val="000000" w:themeColor="text1"/>
          <w:sz w:val="44"/>
          <w:szCs w:val="44"/>
          <w:shd w:val="clear" w:color="auto" w:fill="FFFFFF"/>
          <w14:textFill>
            <w14:solidFill>
              <w14:schemeClr w14:val="tx1"/>
            </w14:solidFill>
          </w14:textFill>
        </w:rPr>
        <w:t>镇202</w:t>
      </w:r>
      <w:r>
        <w:rPr>
          <w:rFonts w:hint="eastAsia" w:ascii="方正小标宋简体" w:hAnsi="微软雅黑" w:eastAsia="方正小标宋简体" w:cs="微软雅黑"/>
          <w:b w:val="0"/>
          <w:bCs/>
          <w:color w:val="000000" w:themeColor="text1"/>
          <w:sz w:val="44"/>
          <w:szCs w:val="44"/>
          <w:shd w:val="clear" w:color="auto" w:fill="FFFFFF"/>
          <w:lang w:val="en-US" w:eastAsia="zh-CN"/>
          <w14:textFill>
            <w14:solidFill>
              <w14:schemeClr w14:val="tx1"/>
            </w14:solidFill>
          </w14:textFill>
        </w:rPr>
        <w:t>4</w:t>
      </w:r>
      <w:r>
        <w:rPr>
          <w:rFonts w:hint="eastAsia" w:ascii="方正小标宋简体" w:hAnsi="微软雅黑" w:eastAsia="方正小标宋简体" w:cs="微软雅黑"/>
          <w:b w:val="0"/>
          <w:bCs/>
          <w:color w:val="000000" w:themeColor="text1"/>
          <w:sz w:val="44"/>
          <w:szCs w:val="44"/>
          <w:shd w:val="clear" w:color="auto" w:fill="FFFFFF"/>
          <w14:textFill>
            <w14:solidFill>
              <w14:schemeClr w14:val="tx1"/>
            </w14:solidFill>
          </w14:textFill>
        </w:rPr>
        <w:t>年政府信息</w:t>
      </w:r>
      <w:bookmarkStart w:id="2" w:name="_GoBack"/>
      <w:bookmarkEnd w:id="2"/>
    </w:p>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微软雅黑" w:eastAsia="方正小标宋简体" w:cs="微软雅黑"/>
          <w:b w:val="0"/>
          <w:bCs/>
          <w:color w:val="000000" w:themeColor="text1"/>
          <w:sz w:val="44"/>
          <w:szCs w:val="44"/>
          <w:shd w:val="clear" w:color="auto" w:fill="FFFFFF"/>
          <w14:textFill>
            <w14:solidFill>
              <w14:schemeClr w14:val="tx1"/>
            </w14:solidFill>
          </w14:textFill>
        </w:rPr>
      </w:pPr>
      <w:r>
        <w:rPr>
          <w:rFonts w:hint="eastAsia" w:ascii="方正小标宋简体" w:hAnsi="微软雅黑" w:eastAsia="方正小标宋简体" w:cs="微软雅黑"/>
          <w:b w:val="0"/>
          <w:bCs/>
          <w:color w:val="000000" w:themeColor="text1"/>
          <w:sz w:val="44"/>
          <w:szCs w:val="44"/>
          <w:shd w:val="clear" w:color="auto" w:fill="FFFFFF"/>
          <w14:textFill>
            <w14:solidFill>
              <w14:schemeClr w14:val="tx1"/>
            </w14:solidFill>
          </w14:textFill>
        </w:rPr>
        <w:t>公开工作年度报告</w:t>
      </w:r>
    </w:p>
    <w:p>
      <w:pPr>
        <w:keepNext w:val="0"/>
        <w:keepLines w:val="0"/>
        <w:pageBreakBefore w:val="0"/>
        <w:kinsoku/>
        <w:wordWrap/>
        <w:overflowPunct/>
        <w:topLinePunct w:val="0"/>
        <w:autoSpaceDE/>
        <w:autoSpaceDN/>
        <w:bidi w:val="0"/>
        <w:spacing w:line="560" w:lineRule="exact"/>
        <w:jc w:val="center"/>
        <w:textAlignment w:val="auto"/>
        <w:rPr>
          <w:rFonts w:hint="eastAsia" w:ascii="仿宋_GB2312" w:hAnsi="微软雅黑" w:eastAsia="仿宋_GB2312" w:cs="微软雅黑"/>
          <w:color w:val="000000" w:themeColor="text1"/>
          <w:kern w:val="2"/>
          <w:sz w:val="32"/>
          <w:szCs w:val="32"/>
          <w:shd w:val="clear" w:color="auto" w:fill="FFFFFF"/>
          <w:lang w:val="en-US" w:eastAsia="zh-CN" w:bidi="ar-SA"/>
          <w14:textFill>
            <w14:solidFill>
              <w14:schemeClr w14:val="tx1"/>
            </w14:solidFill>
          </w14:textFill>
        </w:rPr>
      </w:pPr>
    </w:p>
    <w:p>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pPr>
      <w:r>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t>本报告依据《中华人民共和国政府信息公开条例》（国务院令第711号，以下简称新《条例》）和《国务院办公厅政府信息与政务公开办公室关于政府信息公开工作年度报告有关事项的通知》（国办公开办函〔2021〕30号）要求，结合有关统计数据编制。全文包括总体情况、主动公开政府信息情况、收到和处理政府信息公开申请情况、政府信息公开行政复议行政诉讼情况、存在的主要问题及改进情况、其他需要报告的事项，所列数据的统计期限自202</w:t>
      </w:r>
      <w:r>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t>4</w:t>
      </w:r>
      <w:r>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t>年1月1日起至202</w:t>
      </w:r>
      <w:r>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t>4</w:t>
      </w:r>
      <w:r>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t>年12月31日止。</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pPr>
      <w:r>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t>如对本报告有任何疑问或意见建议，请与</w:t>
      </w:r>
      <w:r>
        <w:rPr>
          <w:rFonts w:hint="eastAsia" w:ascii="仿宋_GB2312" w:hAnsi="微软雅黑" w:eastAsia="仿宋_GB2312" w:cs="微软雅黑"/>
          <w:color w:val="000000" w:themeColor="text1"/>
          <w:sz w:val="32"/>
          <w:szCs w:val="32"/>
          <w:shd w:val="clear" w:color="auto" w:fill="FFFFFF"/>
          <w:lang w:eastAsia="zh-CN"/>
          <w14:textFill>
            <w14:solidFill>
              <w14:schemeClr w14:val="tx1"/>
            </w14:solidFill>
          </w14:textFill>
        </w:rPr>
        <w:t>金砂</w:t>
      </w:r>
      <w:r>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t>镇</w:t>
      </w:r>
      <w:r>
        <w:rPr>
          <w:rFonts w:hint="eastAsia" w:ascii="仿宋_GB2312" w:hAnsi="微软雅黑" w:eastAsia="仿宋_GB2312" w:cs="微软雅黑"/>
          <w:color w:val="000000" w:themeColor="text1"/>
          <w:sz w:val="32"/>
          <w:szCs w:val="32"/>
          <w:shd w:val="clear" w:color="auto" w:fill="FFFFFF"/>
          <w:lang w:eastAsia="zh-CN"/>
          <w14:textFill>
            <w14:solidFill>
              <w14:schemeClr w14:val="tx1"/>
            </w14:solidFill>
          </w14:textFill>
        </w:rPr>
        <w:t>人民政府</w:t>
      </w:r>
      <w:r>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t>联系。</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pPr>
    </w:p>
    <w:p>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pPr>
      <w:r>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t>联系方式：</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pPr>
      <w:r>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t>地址：福建省龙岩市永定区金砂镇新街</w:t>
      </w:r>
      <w:r>
        <w:rPr>
          <w:rFonts w:hint="eastAsia" w:ascii="仿宋_GB2312" w:hAnsi="微软雅黑" w:eastAsia="仿宋_GB2312" w:cs="微软雅黑"/>
          <w:b w:val="0"/>
          <w:bCs w:val="0"/>
          <w:color w:val="auto"/>
          <w:sz w:val="32"/>
          <w:szCs w:val="32"/>
          <w:shd w:val="clear" w:color="auto" w:fill="FFFFFF"/>
          <w:lang w:val="en-US" w:eastAsia="zh-CN"/>
        </w:rPr>
        <w:t>30</w:t>
      </w:r>
      <w:r>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t>号</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pPr>
      <w:r>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t>电话：</w:t>
      </w:r>
      <w:r>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t>0597-5771168</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pPr>
      <w:r>
        <w:rPr>
          <w:rFonts w:hint="eastAsia" w:ascii="仿宋_GB2312" w:hAnsi="微软雅黑" w:eastAsia="仿宋_GB2312" w:cs="微软雅黑"/>
          <w:color w:val="000000" w:themeColor="text1"/>
          <w:sz w:val="32"/>
          <w:szCs w:val="32"/>
          <w:shd w:val="clear" w:color="auto" w:fill="FFFFFF"/>
          <w14:textFill>
            <w14:solidFill>
              <w14:schemeClr w14:val="tx1"/>
            </w14:solidFill>
          </w14:textFill>
        </w:rPr>
        <w:t>邮编：</w:t>
      </w:r>
      <w:r>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t>364100</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pPr>
      <w:r>
        <w:rPr>
          <w:rFonts w:hint="eastAsia" w:ascii="黑体" w:hAnsi="黑体" w:eastAsia="黑体" w:cs="黑体"/>
          <w:b w:val="0"/>
          <w:bCs/>
          <w:color w:val="000000" w:themeColor="text1"/>
          <w:sz w:val="32"/>
          <w:szCs w:val="32"/>
          <w:shd w:val="clear" w:color="auto" w:fill="FFFFFF"/>
          <w14:textFill>
            <w14:solidFill>
              <w14:schemeClr w14:val="tx1"/>
            </w14:solidFill>
          </w14:textFill>
        </w:rPr>
        <w:t>一、总体情况</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ascii="仿宋_GB2312" w:hAnsi="宋体" w:eastAsia="仿宋_GB2312" w:cs="仿宋_GB2312"/>
          <w:sz w:val="32"/>
          <w:szCs w:val="32"/>
          <w:lang w:val="en-US"/>
        </w:rPr>
        <w:t>202</w:t>
      </w:r>
      <w:r>
        <w:rPr>
          <w:rFonts w:hint="eastAsia" w:ascii="仿宋_GB2312" w:hAnsi="宋体" w:eastAsia="仿宋_GB2312" w:cs="仿宋_GB2312"/>
          <w:sz w:val="32"/>
          <w:szCs w:val="32"/>
          <w:lang w:val="en-US" w:eastAsia="zh-CN"/>
        </w:rPr>
        <w:t>4</w:t>
      </w:r>
      <w:r>
        <w:rPr>
          <w:rFonts w:hint="eastAsia" w:ascii="仿宋_GB2312" w:hAnsi="宋体" w:eastAsia="仿宋_GB2312" w:cs="仿宋_GB2312"/>
          <w:sz w:val="32"/>
          <w:szCs w:val="32"/>
        </w:rPr>
        <w:t>年</w:t>
      </w:r>
      <w:r>
        <w:rPr>
          <w:rFonts w:hint="eastAsia" w:ascii="仿宋_GB2312" w:hAnsi="宋体" w:eastAsia="仿宋_GB2312" w:cs="仿宋_GB2312"/>
          <w:sz w:val="32"/>
          <w:szCs w:val="32"/>
          <w:lang w:eastAsia="zh-CN"/>
        </w:rPr>
        <w:t>金砂</w:t>
      </w:r>
      <w:r>
        <w:rPr>
          <w:rFonts w:hint="eastAsia" w:ascii="仿宋_GB2312" w:hAnsi="宋体" w:eastAsia="仿宋_GB2312" w:cs="仿宋_GB2312"/>
          <w:sz w:val="32"/>
          <w:szCs w:val="32"/>
        </w:rPr>
        <w:t>镇坚持以习近平新时代中国特色社会主义思想为指导，</w:t>
      </w:r>
      <w:r>
        <w:rPr>
          <w:rFonts w:hint="eastAsia" w:ascii="仿宋_GB2312" w:hAnsi="仿宋_GB2312" w:eastAsia="仿宋_GB2312" w:cs="仿宋_GB2312"/>
          <w:sz w:val="32"/>
          <w:szCs w:val="32"/>
          <w:highlight w:val="none"/>
        </w:rPr>
        <w:t>全面贯彻党的二十大</w:t>
      </w:r>
      <w:r>
        <w:rPr>
          <w:rFonts w:hint="eastAsia" w:ascii="仿宋_GB2312" w:hAnsi="仿宋_GB2312" w:eastAsia="仿宋_GB2312" w:cs="仿宋_GB2312"/>
          <w:sz w:val="32"/>
          <w:szCs w:val="32"/>
          <w:highlight w:val="none"/>
          <w:lang w:val="en-US" w:eastAsia="zh-CN"/>
        </w:rPr>
        <w:t>及历次全会</w:t>
      </w:r>
      <w:r>
        <w:rPr>
          <w:rFonts w:hint="eastAsia" w:ascii="仿宋_GB2312" w:hAnsi="仿宋_GB2312" w:eastAsia="仿宋_GB2312" w:cs="仿宋_GB2312"/>
          <w:sz w:val="32"/>
          <w:szCs w:val="32"/>
          <w:highlight w:val="none"/>
        </w:rPr>
        <w:t>精神</w:t>
      </w:r>
      <w:r>
        <w:rPr>
          <w:rFonts w:hint="eastAsia" w:ascii="仿宋_GB2312" w:hAnsi="宋体" w:eastAsia="仿宋_GB2312" w:cs="仿宋_GB2312"/>
          <w:sz w:val="32"/>
          <w:szCs w:val="32"/>
        </w:rPr>
        <w:t>，认真落实国务院</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省、市、区关于政务公开工作的决策部署，</w:t>
      </w:r>
      <w:r>
        <w:rPr>
          <w:rFonts w:hint="eastAsia" w:ascii="仿宋_GB2312" w:hAnsi="宋体" w:eastAsia="仿宋_GB2312" w:cs="仿宋_GB2312"/>
          <w:sz w:val="32"/>
          <w:szCs w:val="32"/>
          <w:lang w:eastAsia="zh-CN"/>
        </w:rPr>
        <w:t>遵循</w:t>
      </w:r>
      <w:r>
        <w:rPr>
          <w:rFonts w:hint="eastAsia" w:ascii="仿宋_GB2312" w:hAnsi="仿宋_GB2312" w:eastAsia="仿宋_GB2312" w:cs="仿宋_GB2312"/>
          <w:sz w:val="32"/>
          <w:szCs w:val="32"/>
          <w:highlight w:val="none"/>
        </w:rPr>
        <w:t>公正、公平、合法、便民原则，准确、有效、及时地进行政府信息公开，切实保障人民群众的知情权、参与权和监督权，有效建立起政府与群众沟通了解的桥梁</w:t>
      </w:r>
      <w:r>
        <w:rPr>
          <w:rFonts w:hint="eastAsia" w:ascii="仿宋_GB2312" w:hAnsi="仿宋_GB2312" w:eastAsia="仿宋_GB2312" w:cs="仿宋_GB2312"/>
          <w:sz w:val="32"/>
          <w:szCs w:val="32"/>
          <w:highlight w:val="none"/>
          <w:lang w:eastAsia="zh-CN"/>
        </w:rPr>
        <w:t>。</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60" w:firstLineChars="0"/>
        <w:textAlignment w:val="auto"/>
        <w:rPr>
          <w:rFonts w:hint="eastAsia" w:ascii="仿宋_GB2312" w:hAnsi="微软雅黑" w:eastAsia="仿宋_GB2312" w:cs="微软雅黑"/>
          <w:b/>
          <w:bCs/>
          <w:color w:val="000000" w:themeColor="text1"/>
          <w:sz w:val="32"/>
          <w:szCs w:val="32"/>
          <w:shd w:val="clear" w:color="auto" w:fill="FFFFFF"/>
          <w14:textFill>
            <w14:solidFill>
              <w14:schemeClr w14:val="tx1"/>
            </w14:solidFill>
          </w14:textFill>
        </w:rPr>
      </w:pPr>
      <w:r>
        <w:rPr>
          <w:rFonts w:hint="eastAsia" w:ascii="仿宋_GB2312" w:hAnsi="微软雅黑" w:eastAsia="仿宋_GB2312" w:cs="微软雅黑"/>
          <w:b/>
          <w:bCs/>
          <w:color w:val="000000" w:themeColor="text1"/>
          <w:sz w:val="32"/>
          <w:szCs w:val="32"/>
          <w:shd w:val="clear" w:color="auto" w:fill="FFFFFF"/>
          <w:lang w:eastAsia="zh-CN"/>
          <w14:textFill>
            <w14:solidFill>
              <w14:schemeClr w14:val="tx1"/>
            </w14:solidFill>
          </w14:textFill>
        </w:rPr>
        <w:t>（一）</w:t>
      </w:r>
      <w:r>
        <w:rPr>
          <w:rFonts w:hint="eastAsia" w:ascii="仿宋_GB2312" w:hAnsi="微软雅黑" w:eastAsia="仿宋_GB2312" w:cs="微软雅黑"/>
          <w:b/>
          <w:bCs/>
          <w:color w:val="000000" w:themeColor="text1"/>
          <w:sz w:val="32"/>
          <w:szCs w:val="32"/>
          <w:shd w:val="clear" w:color="auto" w:fill="FFFFFF"/>
          <w14:textFill>
            <w14:solidFill>
              <w14:schemeClr w14:val="tx1"/>
            </w14:solidFill>
          </w14:textFill>
        </w:rPr>
        <w:t>主动公开</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60" w:firstLineChars="0"/>
        <w:textAlignment w:val="auto"/>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pPr>
      <w:r>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t>1.主动公开政府信息数量。2024年，我镇在区政府门户网站信息公开专栏上主动公开政府信息7条，内容涵盖了政府机构职能、领导成员和分工、工作动态等多方面信息。</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pPr>
      <w:r>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t>2.主动公开政府信息形式。在区级层次有区政府门户网站、区图书馆、区档案馆等，在本级有公开专区、公开栏，在村级设有村居政务公开栏。</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pPr>
      <w:r>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t>3.主动公开财政信息。镇政府财政预结算情况经镇人大会审议通过后，及时向社会公开，广泛接受各界监督，确保财政资金运行阳光透明，充分保障民众的知情权与监督权。</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60" w:firstLineChars="0"/>
        <w:textAlignment w:val="auto"/>
        <w:rPr>
          <w:rFonts w:hint="eastAsia" w:ascii="仿宋_GB2312" w:hAnsi="微软雅黑" w:eastAsia="仿宋_GB2312" w:cs="微软雅黑"/>
          <w:b/>
          <w:bCs/>
          <w:color w:val="000000" w:themeColor="text1"/>
          <w:sz w:val="32"/>
          <w:szCs w:val="32"/>
          <w:shd w:val="clear" w:color="auto" w:fill="FFFFFF"/>
          <w:lang w:val="en-US" w:eastAsia="zh-CN"/>
          <w14:textFill>
            <w14:solidFill>
              <w14:schemeClr w14:val="tx1"/>
            </w14:solidFill>
          </w14:textFill>
        </w:rPr>
      </w:pPr>
      <w:r>
        <w:rPr>
          <w:rFonts w:hint="eastAsia" w:ascii="仿宋_GB2312" w:hAnsi="微软雅黑" w:eastAsia="仿宋_GB2312" w:cs="微软雅黑"/>
          <w:b/>
          <w:bCs/>
          <w:color w:val="000000" w:themeColor="text1"/>
          <w:sz w:val="32"/>
          <w:szCs w:val="32"/>
          <w:shd w:val="clear" w:color="auto" w:fill="FFFFFF"/>
          <w14:textFill>
            <w14:solidFill>
              <w14:schemeClr w14:val="tx1"/>
            </w14:solidFill>
          </w14:textFill>
        </w:rPr>
        <w:t>(二)依申请公开</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60" w:firstLineChars="0"/>
        <w:textAlignment w:val="auto"/>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pPr>
      <w:r>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t>2024年，我镇没有受理政府公开申请,也没有申请处理情况。一年来，我镇严格按照规定公开政务信息，没有因政务信息公开被申请行政复议、提起诉讼和申诉的案件发生。</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60" w:firstLineChars="0"/>
        <w:textAlignment w:val="auto"/>
        <w:rPr>
          <w:rFonts w:hint="eastAsia" w:ascii="仿宋_GB2312" w:hAnsi="微软雅黑" w:eastAsia="仿宋_GB2312" w:cs="微软雅黑"/>
          <w:b/>
          <w:bCs/>
          <w:color w:val="000000" w:themeColor="text1"/>
          <w:sz w:val="32"/>
          <w:szCs w:val="32"/>
          <w:shd w:val="clear" w:color="auto" w:fill="FFFFFF"/>
          <w14:textFill>
            <w14:solidFill>
              <w14:schemeClr w14:val="tx1"/>
            </w14:solidFill>
          </w14:textFill>
        </w:rPr>
      </w:pPr>
      <w:r>
        <w:rPr>
          <w:rFonts w:hint="eastAsia" w:ascii="仿宋_GB2312" w:hAnsi="微软雅黑" w:eastAsia="仿宋_GB2312" w:cs="微软雅黑"/>
          <w:b/>
          <w:bCs/>
          <w:color w:val="000000" w:themeColor="text1"/>
          <w:sz w:val="32"/>
          <w:szCs w:val="32"/>
          <w:shd w:val="clear" w:color="auto" w:fill="FFFFFF"/>
          <w14:textFill>
            <w14:solidFill>
              <w14:schemeClr w14:val="tx1"/>
            </w14:solidFill>
          </w14:textFill>
        </w:rPr>
        <w:t>（三）政府信息管理情况</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60" w:firstLineChars="0"/>
        <w:textAlignment w:val="auto"/>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pPr>
      <w:r>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t>2024年，我镇加强部门信息管理，不断完善本乡镇政府信息主动公开工作机制和政府信息公开申请受理机制，加强对相关工作人员的业务指导，严格规范信息发布程序，加强信息审核把关，落实“三审三校”制度，促进内容管理的规范化，确保政府信息内容安全可靠。完善保密审查制度、责任追究制度，设专人承办政府信息发布，落实分管领导责任制。信息发布前，严格审核是否涉及国家秘密、商业秘密、个人隐私、敏感词等内容，发现疑点及时通知各单位人工审核通过，确保不发生泄密问题。</w:t>
      </w:r>
    </w:p>
    <w:p>
      <w:pPr>
        <w:pStyle w:val="4"/>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60" w:firstLineChars="0"/>
        <w:textAlignment w:val="auto"/>
        <w:rPr>
          <w:rFonts w:hint="eastAsia" w:ascii="仿宋_GB2312" w:hAnsi="微软雅黑" w:eastAsia="仿宋_GB2312" w:cs="微软雅黑"/>
          <w:b/>
          <w:bCs/>
          <w:color w:val="000000" w:themeColor="text1"/>
          <w:sz w:val="32"/>
          <w:szCs w:val="32"/>
          <w:shd w:val="clear" w:color="auto" w:fill="FFFFFF"/>
          <w14:textFill>
            <w14:solidFill>
              <w14:schemeClr w14:val="tx1"/>
            </w14:solidFill>
          </w14:textFill>
        </w:rPr>
      </w:pPr>
      <w:r>
        <w:rPr>
          <w:rFonts w:hint="eastAsia" w:ascii="仿宋_GB2312" w:hAnsi="微软雅黑" w:eastAsia="仿宋_GB2312" w:cs="微软雅黑"/>
          <w:b/>
          <w:bCs/>
          <w:color w:val="000000" w:themeColor="text1"/>
          <w:kern w:val="2"/>
          <w:sz w:val="32"/>
          <w:szCs w:val="32"/>
          <w:shd w:val="clear" w:fill="FFFFFF"/>
          <w:lang w:val="en-US" w:eastAsia="zh-CN" w:bidi="ar-SA"/>
          <w14:textFill>
            <w14:solidFill>
              <w14:schemeClr w14:val="tx1"/>
            </w14:solidFill>
          </w14:textFill>
        </w:rPr>
        <w:t>(四)</w:t>
      </w:r>
      <w:r>
        <w:rPr>
          <w:rFonts w:hint="eastAsia" w:ascii="仿宋_GB2312" w:hAnsi="微软雅黑" w:eastAsia="仿宋_GB2312" w:cs="微软雅黑"/>
          <w:b/>
          <w:bCs/>
          <w:color w:val="000000" w:themeColor="text1"/>
          <w:sz w:val="32"/>
          <w:szCs w:val="32"/>
          <w:shd w:val="clear" w:color="auto" w:fill="FFFFFF"/>
          <w14:textFill>
            <w14:solidFill>
              <w14:schemeClr w14:val="tx1"/>
            </w14:solidFill>
          </w14:textFill>
        </w:rPr>
        <w:t>政府信息公开平台建设</w:t>
      </w:r>
    </w:p>
    <w:p>
      <w:pPr>
        <w:pStyle w:val="4"/>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微软雅黑" w:eastAsia="仿宋_GB2312" w:cs="微软雅黑"/>
          <w:b/>
          <w:bCs/>
          <w:color w:val="000000" w:themeColor="text1"/>
          <w:sz w:val="32"/>
          <w:szCs w:val="32"/>
          <w:shd w:val="clear" w:color="auto" w:fill="FFFFFF"/>
          <w14:textFill>
            <w14:solidFill>
              <w14:schemeClr w14:val="tx1"/>
            </w14:solidFill>
          </w14:textFill>
        </w:rPr>
      </w:pPr>
      <w:r>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t>1.线上公开平台建设情况。将永定区人民政府网站作为我镇线上信息公开的主要渠道，对照政务公开工作要点，及时更新完善信息公开目录，每季度将当月信息公开文件报送区档案馆、图书馆存档。</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60" w:firstLineChars="0"/>
        <w:textAlignment w:val="auto"/>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pPr>
      <w:r>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t>2.线下公开平台建设情况。一是在便民服务大厅设立政务公开窗口，提供信息查询、公开申请等服务。二是在镇政府、各村（社区）活动室设立党务政务公开栏，及时公示党务、政务信息。</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60" w:firstLineChars="0"/>
        <w:textAlignment w:val="auto"/>
        <w:rPr>
          <w:rFonts w:hint="eastAsia" w:ascii="仿宋_GB2312" w:hAnsi="微软雅黑" w:eastAsia="仿宋_GB2312" w:cs="微软雅黑"/>
          <w:b/>
          <w:bCs/>
          <w:color w:val="000000" w:themeColor="text1"/>
          <w:sz w:val="32"/>
          <w:szCs w:val="32"/>
          <w:shd w:val="clear" w:color="auto" w:fill="FFFFFF"/>
          <w14:textFill>
            <w14:solidFill>
              <w14:schemeClr w14:val="tx1"/>
            </w14:solidFill>
          </w14:textFill>
        </w:rPr>
      </w:pPr>
      <w:r>
        <w:rPr>
          <w:rFonts w:hint="eastAsia" w:ascii="仿宋_GB2312" w:hAnsi="微软雅黑" w:eastAsia="仿宋_GB2312" w:cs="微软雅黑"/>
          <w:b/>
          <w:bCs/>
          <w:color w:val="000000" w:themeColor="text1"/>
          <w:sz w:val="32"/>
          <w:szCs w:val="32"/>
          <w:shd w:val="clear" w:color="auto" w:fill="FFFFFF"/>
          <w14:textFill>
            <w14:solidFill>
              <w14:schemeClr w14:val="tx1"/>
            </w14:solidFill>
          </w14:textFill>
        </w:rPr>
        <w:t>(五)监督保障</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60" w:firstLineChars="0"/>
        <w:textAlignment w:val="auto"/>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pPr>
      <w:r>
        <w:rPr>
          <w:rFonts w:hint="eastAsia" w:ascii="仿宋_GB2312" w:hAnsi="微软雅黑" w:eastAsia="仿宋_GB2312" w:cs="微软雅黑"/>
          <w:color w:val="000000" w:themeColor="text1"/>
          <w:sz w:val="32"/>
          <w:szCs w:val="32"/>
          <w:shd w:val="clear" w:color="auto" w:fill="FFFFFF"/>
          <w:lang w:val="en-US" w:eastAsia="zh-CN"/>
          <w14:textFill>
            <w14:solidFill>
              <w14:schemeClr w14:val="tx1"/>
            </w14:solidFill>
          </w14:textFill>
        </w:rPr>
        <w:t>在狠抓内部制约机制的同时，重点以《中华人民共和国政府信息公开条例》实施为突破口，抓好外部监督制约机制的完善，定期对政府信息年报、法定主动公开内容开展自查，增强日常检测，落实问题整改，建立健全长效管理机制，接受社会群众的社会监督、社会评议，未出现违反有关法律规定、造成不良影响或者严重后果的情况。</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60" w:firstLineChars="0"/>
        <w:textAlignment w:val="auto"/>
        <w:rPr>
          <w:rFonts w:hint="eastAsia" w:ascii="黑体" w:hAnsi="黑体" w:eastAsia="黑体" w:cs="黑体"/>
          <w:b w:val="0"/>
          <w:bCs/>
          <w:color w:val="000000" w:themeColor="text1"/>
          <w:sz w:val="32"/>
          <w:szCs w:val="32"/>
          <w:shd w:val="clear" w:color="auto" w:fill="FFFFFF"/>
          <w14:textFill>
            <w14:solidFill>
              <w14:schemeClr w14:val="tx1"/>
            </w14:solidFill>
          </w14:textFill>
        </w:rPr>
      </w:pPr>
      <w:r>
        <w:rPr>
          <w:rFonts w:hint="eastAsia" w:ascii="黑体" w:hAnsi="黑体" w:eastAsia="黑体" w:cs="黑体"/>
          <w:b w:val="0"/>
          <w:bCs/>
          <w:color w:val="000000" w:themeColor="text1"/>
          <w:sz w:val="32"/>
          <w:szCs w:val="32"/>
          <w:shd w:val="clear" w:color="auto" w:fill="FFFFFF"/>
          <w14:textFill>
            <w14:solidFill>
              <w14:schemeClr w14:val="tx1"/>
            </w14:solidFill>
          </w14:textFill>
        </w:rPr>
        <w:t>二、</w:t>
      </w:r>
      <w:r>
        <w:rPr>
          <w:rFonts w:hint="eastAsia" w:ascii="黑体" w:hAnsi="黑体" w:eastAsia="黑体" w:cs="黑体"/>
          <w:b w:val="0"/>
          <w:bCs/>
          <w:color w:val="000000" w:themeColor="text1"/>
          <w:sz w:val="32"/>
          <w:szCs w:val="32"/>
          <w:shd w:val="clear" w:color="auto" w:fill="FFFFFF"/>
          <w:lang w:eastAsia="zh-CN"/>
          <w14:textFill>
            <w14:solidFill>
              <w14:schemeClr w14:val="tx1"/>
            </w14:solidFill>
          </w14:textFill>
        </w:rPr>
        <w:t>行政机关</w:t>
      </w:r>
      <w:r>
        <w:rPr>
          <w:rFonts w:hint="eastAsia" w:ascii="黑体" w:hAnsi="黑体" w:eastAsia="黑体" w:cs="黑体"/>
          <w:b w:val="0"/>
          <w:bCs/>
          <w:color w:val="000000" w:themeColor="text1"/>
          <w:sz w:val="32"/>
          <w:szCs w:val="32"/>
          <w:shd w:val="clear" w:color="auto" w:fill="FFFFFF"/>
          <w14:textFill>
            <w14:solidFill>
              <w14:schemeClr w14:val="tx1"/>
            </w14:solidFill>
          </w14:textFill>
        </w:rPr>
        <w:t>主动公开政府信息情况</w:t>
      </w:r>
    </w:p>
    <w:tbl>
      <w:tblPr>
        <w:tblStyle w:val="5"/>
        <w:tblW w:w="9740" w:type="dxa"/>
        <w:jc w:val="center"/>
        <w:tblInd w:w="0" w:type="dxa"/>
        <w:tblLayout w:type="fixed"/>
        <w:tblCellMar>
          <w:top w:w="0" w:type="dxa"/>
          <w:left w:w="0" w:type="dxa"/>
          <w:bottom w:w="0" w:type="dxa"/>
          <w:right w:w="0" w:type="dxa"/>
        </w:tblCellMar>
      </w:tblPr>
      <w:tblGrid>
        <w:gridCol w:w="2435"/>
        <w:gridCol w:w="2435"/>
        <w:gridCol w:w="2435"/>
        <w:gridCol w:w="2435"/>
      </w:tblGrid>
      <w:tr>
        <w:tblPrEx>
          <w:tblLayout w:type="fixed"/>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第二十条第（一）项</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信息内容</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本年制发件数</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本年废止件数</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现行有效件数</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规章</w:t>
            </w:r>
          </w:p>
        </w:tc>
        <w:tc>
          <w:tcPr>
            <w:tcW w:w="2435"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2435"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2435"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行政规范性文件</w:t>
            </w:r>
          </w:p>
        </w:tc>
        <w:tc>
          <w:tcPr>
            <w:tcW w:w="2435"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2435"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2435"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Layout w:type="fixed"/>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4" w:space="0"/>
              <w:right w:val="single" w:color="auto" w:sz="8" w:space="0"/>
            </w:tcBorders>
            <w:shd w:val="clear" w:color="auto" w:fill="C6D9F1"/>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第二十条第（五）项</w:t>
            </w:r>
          </w:p>
        </w:tc>
      </w:tr>
      <w:tr>
        <w:tblPrEx>
          <w:tblLayout w:type="fixed"/>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信息内容</w:t>
            </w:r>
          </w:p>
        </w:tc>
        <w:tc>
          <w:tcPr>
            <w:tcW w:w="7305" w:type="dxa"/>
            <w:gridSpan w:val="3"/>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本年处理决定数量</w:t>
            </w:r>
          </w:p>
        </w:tc>
      </w:tr>
      <w:tr>
        <w:tblPrEx>
          <w:tblLayout w:type="fixed"/>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行政许可</w:t>
            </w:r>
          </w:p>
        </w:tc>
        <w:tc>
          <w:tcPr>
            <w:tcW w:w="7305" w:type="dxa"/>
            <w:gridSpan w:val="3"/>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rFonts w:hint="eastAsia" w:eastAsia="微软雅黑"/>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Layout w:type="fixed"/>
          <w:tblCellMar>
            <w:top w:w="0" w:type="dxa"/>
            <w:left w:w="0" w:type="dxa"/>
            <w:bottom w:w="0" w:type="dxa"/>
            <w:right w:w="0" w:type="dxa"/>
          </w:tblCellMar>
        </w:tblPrEx>
        <w:trPr>
          <w:trHeight w:val="340" w:hRule="atLeast"/>
          <w:jc w:val="center"/>
        </w:trPr>
        <w:tc>
          <w:tcPr>
            <w:tcW w:w="9740" w:type="dxa"/>
            <w:gridSpan w:val="4"/>
            <w:tcBorders>
              <w:top w:val="single" w:color="auto" w:sz="4" w:space="0"/>
              <w:left w:val="single" w:color="auto" w:sz="4" w:space="0"/>
              <w:bottom w:val="single" w:color="auto" w:sz="4" w:space="0"/>
              <w:right w:val="single" w:color="auto" w:sz="4" w:space="0"/>
            </w:tcBorders>
            <w:shd w:val="clear" w:color="auto" w:fill="C6D9F1"/>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第二十条第（六）项</w:t>
            </w:r>
          </w:p>
        </w:tc>
      </w:tr>
      <w:tr>
        <w:tblPrEx>
          <w:tblLayout w:type="fixed"/>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8" w:space="0"/>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信息内容</w:t>
            </w:r>
          </w:p>
        </w:tc>
        <w:tc>
          <w:tcPr>
            <w:tcW w:w="7305" w:type="dxa"/>
            <w:gridSpan w:val="3"/>
            <w:tcBorders>
              <w:top w:val="single" w:color="auto" w:sz="4" w:space="0"/>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本年处理决定数量</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4"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行政处罚</w:t>
            </w:r>
          </w:p>
        </w:tc>
        <w:tc>
          <w:tcPr>
            <w:tcW w:w="7305" w:type="dxa"/>
            <w:gridSpan w:val="3"/>
            <w:tcBorders>
              <w:top w:val="nil"/>
              <w:left w:val="nil"/>
              <w:bottom w:val="single" w:color="auto" w:sz="4"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Layout w:type="fixed"/>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行政强制</w:t>
            </w:r>
          </w:p>
        </w:tc>
        <w:tc>
          <w:tcPr>
            <w:tcW w:w="7305" w:type="dxa"/>
            <w:gridSpan w:val="3"/>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Layout w:type="fixed"/>
          <w:tblCellMar>
            <w:top w:w="0" w:type="dxa"/>
            <w:left w:w="0" w:type="dxa"/>
            <w:bottom w:w="0" w:type="dxa"/>
            <w:right w:w="0" w:type="dxa"/>
          </w:tblCellMar>
        </w:tblPrEx>
        <w:trPr>
          <w:trHeight w:val="340" w:hRule="atLeast"/>
          <w:jc w:val="center"/>
        </w:trPr>
        <w:tc>
          <w:tcPr>
            <w:tcW w:w="9740" w:type="dxa"/>
            <w:gridSpan w:val="4"/>
            <w:tcBorders>
              <w:top w:val="single" w:color="auto" w:sz="4" w:space="0"/>
              <w:left w:val="single" w:color="auto" w:sz="4" w:space="0"/>
              <w:bottom w:val="single" w:color="auto" w:sz="4" w:space="0"/>
              <w:right w:val="single" w:color="auto" w:sz="4" w:space="0"/>
            </w:tcBorders>
            <w:shd w:val="clear" w:color="auto" w:fill="C6D9F1"/>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第二十条第（八）项</w:t>
            </w:r>
          </w:p>
        </w:tc>
      </w:tr>
      <w:tr>
        <w:tblPrEx>
          <w:tblLayout w:type="fixed"/>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8" w:space="0"/>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信息内容</w:t>
            </w:r>
          </w:p>
        </w:tc>
        <w:tc>
          <w:tcPr>
            <w:tcW w:w="7305" w:type="dxa"/>
            <w:gridSpan w:val="3"/>
            <w:tcBorders>
              <w:top w:val="single" w:color="auto" w:sz="4" w:space="0"/>
              <w:left w:val="nil"/>
              <w:bottom w:val="single" w:color="auto" w:sz="8" w:space="0"/>
              <w:right w:val="single" w:color="000000"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本年收费金额（单位：万元）</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行政事业性收费</w:t>
            </w:r>
          </w:p>
        </w:tc>
        <w:tc>
          <w:tcPr>
            <w:tcW w:w="7305" w:type="dxa"/>
            <w:gridSpan w:val="3"/>
            <w:tcBorders>
              <w:top w:val="nil"/>
              <w:left w:val="nil"/>
              <w:bottom w:val="single" w:color="auto" w:sz="8" w:space="0"/>
              <w:right w:val="single" w:color="000000"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hint="eastAsia" w:ascii="宋体" w:eastAsia="微软雅黑"/>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bl>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color w:val="000000" w:themeColor="text1"/>
          <w:sz w:val="32"/>
          <w:szCs w:val="32"/>
          <w:shd w:val="clear" w:color="auto" w:fill="FFFFFF"/>
          <w14:textFill>
            <w14:solidFill>
              <w14:schemeClr w14:val="tx1"/>
            </w14:solidFill>
          </w14:textFill>
        </w:rPr>
      </w:pPr>
      <w:r>
        <w:rPr>
          <w:rFonts w:hint="eastAsia" w:ascii="黑体" w:hAnsi="黑体" w:eastAsia="黑体" w:cs="黑体"/>
          <w:b w:val="0"/>
          <w:bCs/>
          <w:color w:val="000000" w:themeColor="text1"/>
          <w:sz w:val="32"/>
          <w:szCs w:val="32"/>
          <w:shd w:val="clear" w:color="auto" w:fill="FFFFFF"/>
          <w14:textFill>
            <w14:solidFill>
              <w14:schemeClr w14:val="tx1"/>
            </w14:solidFill>
          </w14:textFill>
        </w:rPr>
        <w:t>三、收到和处理政府信息公开申请情况</w:t>
      </w:r>
    </w:p>
    <w:tbl>
      <w:tblPr>
        <w:tblStyle w:val="5"/>
        <w:tblW w:w="9699"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765"/>
        <w:gridCol w:w="938"/>
        <w:gridCol w:w="3204"/>
        <w:gridCol w:w="684"/>
        <w:gridCol w:w="684"/>
        <w:gridCol w:w="684"/>
        <w:gridCol w:w="684"/>
        <w:gridCol w:w="684"/>
        <w:gridCol w:w="687"/>
        <w:gridCol w:w="68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4907" w:type="dxa"/>
            <w:gridSpan w:val="3"/>
            <w:vMerge w:val="restart"/>
            <w:tcBorders>
              <w:top w:val="single" w:color="auto" w:sz="8" w:space="0"/>
              <w:left w:val="single" w:color="auto" w:sz="8" w:space="0"/>
              <w:bottom w:val="outset"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楷体" w:hAnsi="楷体" w:eastAsia="楷体" w:cs="楷体"/>
                <w:color w:val="000000" w:themeColor="text1"/>
                <w:sz w:val="20"/>
                <w:szCs w:val="20"/>
                <w14:textFill>
                  <w14:solidFill>
                    <w14:schemeClr w14:val="tx1"/>
                  </w14:solidFill>
                </w14:textFill>
              </w:rPr>
              <w:t>（本列数据的勾稽关系为：第一项加第二项之和，等于第三项加第四项之和）</w:t>
            </w:r>
          </w:p>
        </w:tc>
        <w:tc>
          <w:tcPr>
            <w:tcW w:w="4792" w:type="dxa"/>
            <w:gridSpan w:val="7"/>
            <w:tcBorders>
              <w:top w:val="single" w:color="auto" w:sz="8" w:space="0"/>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4907" w:type="dxa"/>
            <w:gridSpan w:val="3"/>
            <w:vMerge w:val="continue"/>
            <w:tcBorders>
              <w:top w:val="single" w:color="auto" w:sz="8" w:space="0"/>
              <w:left w:val="single" w:color="auto" w:sz="8" w:space="0"/>
              <w:bottom w:val="outset"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684" w:type="dxa"/>
            <w:vMerge w:val="restart"/>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自然人</w:t>
            </w:r>
          </w:p>
        </w:tc>
        <w:tc>
          <w:tcPr>
            <w:tcW w:w="3423" w:type="dxa"/>
            <w:gridSpan w:val="5"/>
            <w:tcBorders>
              <w:top w:val="single" w:color="auto" w:sz="8" w:space="0"/>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法人或其他组织</w:t>
            </w:r>
          </w:p>
        </w:tc>
        <w:tc>
          <w:tcPr>
            <w:tcW w:w="685" w:type="dxa"/>
            <w:vMerge w:val="restart"/>
            <w:tcBorders>
              <w:top w:val="single" w:color="auto" w:sz="8" w:space="0"/>
              <w:left w:val="nil"/>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895" w:hRule="atLeast"/>
          <w:jc w:val="center"/>
        </w:trPr>
        <w:tc>
          <w:tcPr>
            <w:tcW w:w="4907" w:type="dxa"/>
            <w:gridSpan w:val="3"/>
            <w:vMerge w:val="continue"/>
            <w:tcBorders>
              <w:top w:val="single" w:color="auto" w:sz="8" w:space="0"/>
              <w:left w:val="single" w:color="auto" w:sz="8" w:space="0"/>
              <w:bottom w:val="outset"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684" w:type="dxa"/>
            <w:vMerge w:val="continue"/>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684"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商业</w:t>
            </w:r>
          </w:p>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企业</w:t>
            </w:r>
          </w:p>
        </w:tc>
        <w:tc>
          <w:tcPr>
            <w:tcW w:w="684"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科研</w:t>
            </w:r>
          </w:p>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机构</w:t>
            </w:r>
          </w:p>
        </w:tc>
        <w:tc>
          <w:tcPr>
            <w:tcW w:w="684" w:type="dxa"/>
            <w:tcBorders>
              <w:top w:val="single" w:color="auto" w:sz="8" w:space="0"/>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社会公益组织</w:t>
            </w:r>
          </w:p>
        </w:tc>
        <w:tc>
          <w:tcPr>
            <w:tcW w:w="684" w:type="dxa"/>
            <w:tcBorders>
              <w:top w:val="single" w:color="auto" w:sz="8" w:space="0"/>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法律服务机构</w:t>
            </w:r>
          </w:p>
        </w:tc>
        <w:tc>
          <w:tcPr>
            <w:tcW w:w="687" w:type="dxa"/>
            <w:tcBorders>
              <w:top w:val="single" w:color="auto" w:sz="8" w:space="0"/>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其他</w:t>
            </w:r>
          </w:p>
        </w:tc>
        <w:tc>
          <w:tcPr>
            <w:tcW w:w="685" w:type="dxa"/>
            <w:vMerge w:val="continue"/>
            <w:tcBorders>
              <w:top w:val="single" w:color="auto" w:sz="8" w:space="0"/>
              <w:left w:val="nil"/>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4907" w:type="dxa"/>
            <w:gridSpan w:val="3"/>
            <w:tcBorders>
              <w:top w:val="nil"/>
              <w:left w:val="single" w:color="auto" w:sz="8" w:space="0"/>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一、本年新收政府信息公开申请数量</w:t>
            </w:r>
          </w:p>
        </w:tc>
        <w:tc>
          <w:tcPr>
            <w:tcW w:w="684"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nil"/>
              <w:left w:val="nil"/>
              <w:bottom w:val="single" w:color="auto" w:sz="8" w:space="0"/>
              <w:right w:val="single" w:color="auto" w:sz="8"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4907" w:type="dxa"/>
            <w:gridSpan w:val="3"/>
            <w:tcBorders>
              <w:top w:val="nil"/>
              <w:left w:val="single" w:color="auto" w:sz="8" w:space="0"/>
              <w:bottom w:val="single" w:color="auto" w:sz="4"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二、上年结转政府信息公开申请数量</w:t>
            </w:r>
          </w:p>
        </w:tc>
        <w:tc>
          <w:tcPr>
            <w:tcW w:w="684" w:type="dxa"/>
            <w:tcBorders>
              <w:top w:val="nil"/>
              <w:left w:val="nil"/>
              <w:bottom w:val="single" w:color="auto" w:sz="4"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4"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4"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4"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4"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nil"/>
              <w:left w:val="nil"/>
              <w:bottom w:val="single" w:color="auto" w:sz="4"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nil"/>
              <w:left w:val="nil"/>
              <w:bottom w:val="single" w:color="auto" w:sz="4" w:space="0"/>
              <w:right w:val="single" w:color="auto" w:sz="8"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920" w:hRule="atLeast"/>
          <w:jc w:val="center"/>
        </w:trPr>
        <w:tc>
          <w:tcPr>
            <w:tcW w:w="765" w:type="dxa"/>
            <w:vMerge w:val="restart"/>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三、本年度办理结果</w:t>
            </w:r>
          </w:p>
        </w:tc>
        <w:tc>
          <w:tcPr>
            <w:tcW w:w="4142" w:type="dxa"/>
            <w:gridSpan w:val="2"/>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（一）予以公开</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113" w:hRule="atLeast"/>
          <w:jc w:val="center"/>
        </w:trPr>
        <w:tc>
          <w:tcPr>
            <w:tcW w:w="765"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4142" w:type="dxa"/>
            <w:gridSpan w:val="2"/>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（二）部分公开</w:t>
            </w:r>
            <w:r>
              <w:rPr>
                <w:rFonts w:hint="eastAsia" w:ascii="楷体" w:hAnsi="楷体" w:eastAsia="楷体" w:cs="楷体"/>
                <w:color w:val="000000" w:themeColor="text1"/>
                <w:sz w:val="20"/>
                <w:szCs w:val="20"/>
                <w14:textFill>
                  <w14:solidFill>
                    <w14:schemeClr w14:val="tx1"/>
                  </w14:solidFill>
                </w14:textFill>
              </w:rPr>
              <w:t>（区分处理的，只计这一情形，不计其他情形）</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restart"/>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（三）不予公开</w:t>
            </w:r>
          </w:p>
        </w:tc>
        <w:tc>
          <w:tcPr>
            <w:tcW w:w="320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1.属于国家秘密</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2.其他法律行政法规禁止公开</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3.危及“三安全一稳定”</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4.保护第三方合法权益</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5.属于三类内部事务信息</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34" w:hRule="atLeast"/>
          <w:jc w:val="center"/>
        </w:trPr>
        <w:tc>
          <w:tcPr>
            <w:tcW w:w="765"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6.属于四类过程性信息</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7.属于行政执法案卷</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8.属于行政查询事项</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restart"/>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（四）无法提供</w:t>
            </w:r>
          </w:p>
        </w:tc>
        <w:tc>
          <w:tcPr>
            <w:tcW w:w="320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1.本机关不掌握相关政府信息</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2.没有现成信息需要另行制作</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single" w:color="auto" w:sz="4" w:space="0"/>
              <w:left w:val="single" w:color="auto" w:sz="4" w:space="0"/>
              <w:bottom w:val="single" w:color="auto" w:sz="4" w:space="0"/>
              <w:right w:val="single" w:color="auto" w:sz="4"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3.补正后申请内容仍不明确</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single" w:color="auto" w:sz="4" w:space="0"/>
              <w:left w:val="single" w:color="auto" w:sz="4" w:space="0"/>
              <w:bottom w:val="single" w:color="auto" w:sz="4" w:space="0"/>
              <w:right w:val="single" w:color="auto" w:sz="4"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single" w:color="auto" w:sz="4" w:space="0"/>
              <w:left w:val="single" w:color="auto" w:sz="4" w:space="0"/>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restart"/>
            <w:tcBorders>
              <w:top w:val="single" w:color="auto" w:sz="4" w:space="0"/>
              <w:left w:val="nil"/>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（五）不予处理</w:t>
            </w:r>
          </w:p>
        </w:tc>
        <w:tc>
          <w:tcPr>
            <w:tcW w:w="3204" w:type="dxa"/>
            <w:tcBorders>
              <w:top w:val="single" w:color="auto" w:sz="4" w:space="0"/>
              <w:left w:val="nil"/>
              <w:bottom w:val="single" w:color="auto" w:sz="8" w:space="0"/>
              <w:right w:val="single" w:color="auto" w:sz="8"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1.信访举报投诉类申请</w:t>
            </w:r>
          </w:p>
        </w:tc>
        <w:tc>
          <w:tcPr>
            <w:tcW w:w="684" w:type="dxa"/>
            <w:tcBorders>
              <w:top w:val="single" w:color="auto" w:sz="4" w:space="0"/>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single" w:color="auto" w:sz="4" w:space="0"/>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single" w:color="auto" w:sz="4" w:space="0"/>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single" w:color="auto" w:sz="4" w:space="0"/>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nil"/>
              <w:left w:val="single" w:color="auto" w:sz="4" w:space="0"/>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nil"/>
              <w:left w:val="nil"/>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nil"/>
              <w:left w:val="nil"/>
              <w:bottom w:val="single" w:color="auto" w:sz="8" w:space="0"/>
              <w:right w:val="single" w:color="auto" w:sz="8"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2.重复申请</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nil"/>
              <w:left w:val="single" w:color="auto" w:sz="4" w:space="0"/>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nil"/>
              <w:left w:val="nil"/>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nil"/>
              <w:left w:val="nil"/>
              <w:bottom w:val="single" w:color="auto" w:sz="8" w:space="0"/>
              <w:right w:val="single" w:color="auto" w:sz="8"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3.要求提供公开出版物</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nil"/>
              <w:left w:val="single" w:color="auto" w:sz="4" w:space="0"/>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nil"/>
              <w:left w:val="nil"/>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nil"/>
              <w:left w:val="nil"/>
              <w:bottom w:val="single" w:color="auto" w:sz="8" w:space="0"/>
              <w:right w:val="single" w:color="auto" w:sz="8" w:space="0"/>
            </w:tcBorders>
            <w:tcMar>
              <w:left w:w="57" w:type="dxa"/>
              <w:right w:w="57" w:type="dxa"/>
            </w:tcMa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4.无正当理由大量反复申请</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896" w:hRule="atLeast"/>
          <w:jc w:val="center"/>
        </w:trPr>
        <w:tc>
          <w:tcPr>
            <w:tcW w:w="765" w:type="dxa"/>
            <w:vMerge w:val="continue"/>
            <w:tcBorders>
              <w:top w:val="nil"/>
              <w:left w:val="single" w:color="auto" w:sz="4" w:space="0"/>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nil"/>
              <w:left w:val="nil"/>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nil"/>
              <w:left w:val="nil"/>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both"/>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5.要求行政机关确认或重新出具已获取信息</w:t>
            </w:r>
          </w:p>
        </w:tc>
        <w:tc>
          <w:tcPr>
            <w:tcW w:w="684" w:type="dxa"/>
            <w:tcBorders>
              <w:top w:val="nil"/>
              <w:left w:val="nil"/>
              <w:bottom w:val="outset"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outset"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outset"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outset"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outset"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nil"/>
              <w:left w:val="nil"/>
              <w:bottom w:val="outset"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nil"/>
              <w:left w:val="nil"/>
              <w:bottom w:val="outset"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895" w:hRule="atLeast"/>
          <w:jc w:val="center"/>
        </w:trPr>
        <w:tc>
          <w:tcPr>
            <w:tcW w:w="765" w:type="dxa"/>
            <w:vMerge w:val="continue"/>
            <w:tcBorders>
              <w:top w:val="nil"/>
              <w:left w:val="single" w:color="auto" w:sz="4" w:space="0"/>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restart"/>
            <w:tcBorders>
              <w:top w:val="outset" w:color="auto" w:sz="8" w:space="0"/>
              <w:left w:val="nil"/>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（六）其他处理</w:t>
            </w:r>
          </w:p>
        </w:tc>
        <w:tc>
          <w:tcPr>
            <w:tcW w:w="3204"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both"/>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1.申请人无正当理由逾期不补正、行政机关不再处理其政府信息公开申请</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895" w:hRule="atLeast"/>
          <w:jc w:val="center"/>
        </w:trPr>
        <w:tc>
          <w:tcPr>
            <w:tcW w:w="765" w:type="dxa"/>
            <w:vMerge w:val="continue"/>
            <w:tcBorders>
              <w:top w:val="nil"/>
              <w:left w:val="single" w:color="auto" w:sz="4" w:space="0"/>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outset" w:color="auto" w:sz="8" w:space="0"/>
              <w:left w:val="nil"/>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jc w:val="both"/>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2.申请人逾期未按收费通知要求缴纳费用、行政机关不再处理其政府信息公开申请</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nil"/>
              <w:left w:val="single" w:color="auto" w:sz="4" w:space="0"/>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938" w:type="dxa"/>
            <w:vMerge w:val="continue"/>
            <w:tcBorders>
              <w:top w:val="outset" w:color="auto" w:sz="8" w:space="0"/>
              <w:left w:val="nil"/>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3204" w:type="dxa"/>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3.其他</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3" w:hRule="atLeast"/>
          <w:jc w:val="center"/>
        </w:trPr>
        <w:tc>
          <w:tcPr>
            <w:tcW w:w="765" w:type="dxa"/>
            <w:vMerge w:val="continue"/>
            <w:tcBorders>
              <w:top w:val="nil"/>
              <w:left w:val="single" w:color="auto" w:sz="4" w:space="0"/>
              <w:bottom w:val="outset"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4142" w:type="dxa"/>
            <w:gridSpan w:val="2"/>
            <w:tcBorders>
              <w:top w:val="nil"/>
              <w:left w:val="nil"/>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（七）总计</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18" w:hRule="atLeast"/>
          <w:jc w:val="center"/>
        </w:trPr>
        <w:tc>
          <w:tcPr>
            <w:tcW w:w="4907" w:type="dxa"/>
            <w:gridSpan w:val="3"/>
            <w:tcBorders>
              <w:top w:val="nil"/>
              <w:left w:val="single" w:color="auto" w:sz="8" w:space="0"/>
              <w:bottom w:val="single" w:color="auto" w:sz="8" w:space="0"/>
              <w:right w:val="single" w:color="auto" w:sz="8" w:space="0"/>
            </w:tcBorders>
            <w:tcMar>
              <w:left w:w="57" w:type="dxa"/>
              <w:right w:w="57" w:type="dxa"/>
            </w:tcMar>
            <w:vAlign w:val="center"/>
          </w:tcPr>
          <w:p>
            <w:pPr>
              <w:keepNext w:val="0"/>
              <w:keepLines w:val="0"/>
              <w:pageBreakBefore w:val="0"/>
              <w:kinsoku/>
              <w:wordWrap/>
              <w:overflowPunct/>
              <w:topLinePunct w:val="0"/>
              <w:autoSpaceDE/>
              <w:autoSpaceDN/>
              <w:bidi w:val="0"/>
              <w:spacing w:after="0" w:line="56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四、结转下年度继续办理</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4"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7"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85" w:type="dxa"/>
            <w:tcBorders>
              <w:top w:val="nil"/>
              <w:left w:val="nil"/>
              <w:bottom w:val="single" w:color="auto" w:sz="8" w:space="0"/>
              <w:right w:val="single" w:color="auto" w:sz="8" w:space="0"/>
            </w:tcBorders>
            <w:tcMar>
              <w:left w:w="57" w:type="dxa"/>
              <w:right w:w="57" w:type="dxa"/>
            </w:tcMar>
            <w:vAlign w:val="top"/>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bl>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color w:val="000000" w:themeColor="text1"/>
          <w:sz w:val="32"/>
          <w:szCs w:val="32"/>
          <w:shd w:val="clear" w:color="auto" w:fill="FFFFFF"/>
          <w14:textFill>
            <w14:solidFill>
              <w14:schemeClr w14:val="tx1"/>
            </w14:solidFill>
          </w14:textFill>
        </w:rPr>
      </w:pPr>
      <w:r>
        <w:rPr>
          <w:rFonts w:hint="eastAsia" w:ascii="黑体" w:hAnsi="黑体" w:eastAsia="黑体" w:cs="黑体"/>
          <w:b w:val="0"/>
          <w:bCs/>
          <w:color w:val="000000" w:themeColor="text1"/>
          <w:sz w:val="32"/>
          <w:szCs w:val="32"/>
          <w:shd w:val="clear" w:color="auto" w:fill="FFFFFF"/>
          <w14:textFill>
            <w14:solidFill>
              <w14:schemeClr w14:val="tx1"/>
            </w14:solidFill>
          </w14:textFill>
        </w:rPr>
        <w:t>四、政府信息公开行政复议、行政诉讼情况</w:t>
      </w:r>
    </w:p>
    <w:tbl>
      <w:tblPr>
        <w:tblStyle w:val="5"/>
        <w:tblW w:w="9679"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44"/>
        <w:gridCol w:w="644"/>
        <w:gridCol w:w="644"/>
        <w:gridCol w:w="644"/>
        <w:gridCol w:w="650"/>
        <w:gridCol w:w="643"/>
        <w:gridCol w:w="643"/>
        <w:gridCol w:w="644"/>
        <w:gridCol w:w="644"/>
        <w:gridCol w:w="650"/>
        <w:gridCol w:w="644"/>
        <w:gridCol w:w="644"/>
        <w:gridCol w:w="644"/>
        <w:gridCol w:w="644"/>
        <w:gridCol w:w="65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10" w:hRule="atLeast"/>
          <w:jc w:val="center"/>
        </w:trPr>
        <w:tc>
          <w:tcPr>
            <w:tcW w:w="3226" w:type="dxa"/>
            <w:gridSpan w:val="5"/>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行政复议</w:t>
            </w:r>
          </w:p>
        </w:tc>
        <w:tc>
          <w:tcPr>
            <w:tcW w:w="6453" w:type="dxa"/>
            <w:gridSpan w:val="10"/>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95" w:hRule="atLeast"/>
          <w:jc w:val="center"/>
        </w:trPr>
        <w:tc>
          <w:tcPr>
            <w:tcW w:w="644"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结果维持</w:t>
            </w:r>
          </w:p>
        </w:tc>
        <w:tc>
          <w:tcPr>
            <w:tcW w:w="644"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结果</w:t>
            </w:r>
          </w:p>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纠正</w:t>
            </w:r>
          </w:p>
        </w:tc>
        <w:tc>
          <w:tcPr>
            <w:tcW w:w="644"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其他</w:t>
            </w:r>
          </w:p>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结果</w:t>
            </w:r>
          </w:p>
        </w:tc>
        <w:tc>
          <w:tcPr>
            <w:tcW w:w="644"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尚未</w:t>
            </w:r>
          </w:p>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审结</w:t>
            </w:r>
          </w:p>
        </w:tc>
        <w:tc>
          <w:tcPr>
            <w:tcW w:w="650"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总计</w:t>
            </w:r>
          </w:p>
        </w:tc>
        <w:tc>
          <w:tcPr>
            <w:tcW w:w="3224" w:type="dxa"/>
            <w:gridSpan w:val="5"/>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未经复议直接起诉</w:t>
            </w:r>
          </w:p>
        </w:tc>
        <w:tc>
          <w:tcPr>
            <w:tcW w:w="3229" w:type="dxa"/>
            <w:gridSpan w:val="5"/>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61" w:hRule="atLeast"/>
          <w:jc w:val="center"/>
        </w:trPr>
        <w:tc>
          <w:tcPr>
            <w:tcW w:w="644"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644"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644"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644"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650"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line="560" w:lineRule="exact"/>
              <w:textAlignment w:val="auto"/>
              <w:rPr>
                <w:rFonts w:ascii="宋体"/>
                <w:color w:val="000000" w:themeColor="text1"/>
                <w:sz w:val="24"/>
                <w:szCs w:val="24"/>
                <w14:textFill>
                  <w14:solidFill>
                    <w14:schemeClr w14:val="tx1"/>
                  </w14:solidFill>
                </w14:textFill>
              </w:rPr>
            </w:pPr>
          </w:p>
        </w:tc>
        <w:tc>
          <w:tcPr>
            <w:tcW w:w="64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结果</w:t>
            </w:r>
          </w:p>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维持</w:t>
            </w:r>
          </w:p>
        </w:tc>
        <w:tc>
          <w:tcPr>
            <w:tcW w:w="64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结果</w:t>
            </w:r>
          </w:p>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纠正</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其他</w:t>
            </w:r>
          </w:p>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结果</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尚未</w:t>
            </w:r>
          </w:p>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审结</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总计</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结果</w:t>
            </w:r>
          </w:p>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维持</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结果</w:t>
            </w:r>
          </w:p>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纠正</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其他</w:t>
            </w:r>
          </w:p>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结果</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尚未</w:t>
            </w:r>
          </w:p>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审结</w:t>
            </w:r>
          </w:p>
        </w:tc>
        <w:tc>
          <w:tcPr>
            <w:tcW w:w="65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028" w:hRule="atLeast"/>
          <w:jc w:val="center"/>
        </w:trPr>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4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4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4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after="0" w:line="56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c>
          <w:tcPr>
            <w:tcW w:w="65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p>
        </w:tc>
      </w:tr>
    </w:tbl>
    <w:p>
      <w:pPr>
        <w:pStyle w:val="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60" w:lineRule="exact"/>
        <w:ind w:left="0" w:leftChars="0" w:firstLine="660" w:firstLineChars="0"/>
        <w:textAlignment w:val="auto"/>
        <w:rPr>
          <w:rFonts w:hint="eastAsia" w:ascii="黑体" w:hAnsi="黑体" w:eastAsia="黑体" w:cs="黑体"/>
          <w:b w:val="0"/>
          <w:bCs/>
          <w:color w:val="000000" w:themeColor="text1"/>
          <w:sz w:val="32"/>
          <w:szCs w:val="32"/>
          <w:shd w:val="clear" w:color="auto" w:fill="FFFFFF"/>
          <w14:textFill>
            <w14:solidFill>
              <w14:schemeClr w14:val="tx1"/>
            </w14:solidFill>
          </w14:textFill>
        </w:rPr>
      </w:pPr>
      <w:r>
        <w:rPr>
          <w:rFonts w:hint="eastAsia" w:ascii="黑体" w:hAnsi="黑体" w:eastAsia="黑体" w:cs="黑体"/>
          <w:b w:val="0"/>
          <w:bCs/>
          <w:color w:val="000000" w:themeColor="text1"/>
          <w:sz w:val="32"/>
          <w:szCs w:val="32"/>
          <w:shd w:val="clear" w:color="auto" w:fill="FFFFFF"/>
          <w14:textFill>
            <w14:solidFill>
              <w14:schemeClr w14:val="tx1"/>
            </w14:solidFill>
          </w14:textFill>
        </w:rPr>
        <w:t>五、存在的主要问题及改进情况</w:t>
      </w:r>
    </w:p>
    <w:p>
      <w:pPr>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仿宋_GB2312" w:eastAsia="仿宋_GB2312" w:cs="仿宋_GB2312"/>
          <w:b/>
          <w:color w:val="000000" w:themeColor="text1"/>
          <w:sz w:val="32"/>
          <w:szCs w:val="32"/>
          <w:shd w:val="clear" w:color="auto" w:fill="FFFFFF"/>
          <w:lang w:eastAsia="zh-CN"/>
          <w14:textFill>
            <w14:solidFill>
              <w14:schemeClr w14:val="tx1"/>
            </w14:solidFill>
          </w14:textFill>
        </w:rPr>
      </w:pPr>
      <w:r>
        <w:rPr>
          <w:rFonts w:hint="eastAsia" w:ascii="仿宋_GB2312" w:hAnsi="仿宋_GB2312" w:eastAsia="仿宋_GB2312" w:cs="仿宋_GB2312"/>
          <w:b/>
          <w:color w:val="000000" w:themeColor="text1"/>
          <w:sz w:val="32"/>
          <w:szCs w:val="32"/>
          <w:shd w:val="clear" w:color="auto" w:fill="FFFFFF"/>
          <w:lang w:eastAsia="zh-CN"/>
          <w14:textFill>
            <w14:solidFill>
              <w14:schemeClr w14:val="tx1"/>
            </w14:solidFill>
          </w14:textFill>
        </w:rPr>
        <w:t>（一）主要问题</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firstLine="659" w:firstLineChars="206"/>
        <w:textAlignment w:val="auto"/>
        <w:rPr>
          <w:rFonts w:hint="eastAsia" w:ascii="仿宋_GB2312" w:hAnsi="仿宋_GB2312" w:eastAsia="仿宋_GB2312" w:cs="仿宋_GB2312"/>
          <w:b/>
          <w:bCs w:val="0"/>
          <w:color w:val="000000" w:themeColor="text1"/>
          <w:sz w:val="32"/>
          <w:szCs w:val="32"/>
          <w:shd w:val="clear" w:color="auto" w:fill="FFFFFF"/>
          <w:lang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shd w:val="clear" w:color="auto" w:fill="FFFFFF"/>
          <w:lang w:eastAsia="zh-CN"/>
          <w14:textFill>
            <w14:solidFill>
              <w14:schemeClr w14:val="tx1"/>
            </w14:solidFill>
          </w14:textFill>
        </w:rPr>
        <w:t>金砂镇政府信息公开工作取得了一定成效。但在具体公开过程中，还存在一下问题：</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firstLine="662" w:firstLineChars="206"/>
        <w:textAlignment w:val="auto"/>
        <w:rPr>
          <w:rFonts w:hint="eastAsia" w:ascii="仿宋_GB2312" w:hAnsi="仿宋_GB2312" w:eastAsia="仿宋_GB2312" w:cs="仿宋_GB2312"/>
          <w:b w:val="0"/>
          <w:bCs/>
          <w:color w:val="000000" w:themeColor="text1"/>
          <w:sz w:val="32"/>
          <w:szCs w:val="32"/>
          <w:shd w:val="clear" w:color="auto" w:fill="FFFFFF"/>
          <w:lang w:eastAsia="zh-CN"/>
          <w14:textFill>
            <w14:solidFill>
              <w14:schemeClr w14:val="tx1"/>
            </w14:solidFill>
          </w14:textFill>
        </w:rPr>
      </w:pPr>
      <w:r>
        <w:rPr>
          <w:rFonts w:hint="eastAsia" w:ascii="仿宋_GB2312" w:hAnsi="仿宋_GB2312" w:eastAsia="仿宋_GB2312" w:cs="仿宋_GB2312"/>
          <w:b/>
          <w:bCs w:val="0"/>
          <w:color w:val="000000" w:themeColor="text1"/>
          <w:sz w:val="32"/>
          <w:szCs w:val="32"/>
          <w:shd w:val="clear" w:color="auto" w:fill="FFFFFF"/>
          <w:lang w:eastAsia="zh-CN"/>
          <w14:textFill>
            <w14:solidFill>
              <w14:schemeClr w14:val="tx1"/>
            </w14:solidFill>
          </w14:textFill>
        </w:rPr>
        <w:t>一是</w:t>
      </w:r>
      <w:r>
        <w:rPr>
          <w:rFonts w:hint="eastAsia" w:ascii="仿宋_GB2312" w:hAnsi="仿宋_GB2312" w:eastAsia="仿宋_GB2312" w:cs="仿宋_GB2312"/>
          <w:b w:val="0"/>
          <w:bCs/>
          <w:color w:val="000000" w:themeColor="text1"/>
          <w:sz w:val="32"/>
          <w:szCs w:val="32"/>
          <w:shd w:val="clear" w:color="auto" w:fill="FFFFFF"/>
          <w:lang w:eastAsia="zh-CN"/>
          <w14:textFill>
            <w14:solidFill>
              <w14:schemeClr w14:val="tx1"/>
            </w14:solidFill>
          </w14:textFill>
        </w:rPr>
        <w:t>政务公开内容不规范、不具体，重点不突出，许多应事前公开的内容变成了事后公开，有的公开内容缺乏动态内容。</w:t>
      </w:r>
      <w:r>
        <w:rPr>
          <w:rFonts w:hint="eastAsia" w:ascii="仿宋_GB2312" w:hAnsi="仿宋_GB2312" w:eastAsia="仿宋_GB2312" w:cs="仿宋_GB2312"/>
          <w:b/>
          <w:bCs w:val="0"/>
          <w:color w:val="000000" w:themeColor="text1"/>
          <w:sz w:val="32"/>
          <w:szCs w:val="32"/>
          <w:shd w:val="clear" w:color="auto" w:fill="FFFFFF"/>
          <w:lang w:eastAsia="zh-CN"/>
          <w14:textFill>
            <w14:solidFill>
              <w14:schemeClr w14:val="tx1"/>
            </w14:solidFill>
          </w14:textFill>
        </w:rPr>
        <w:t>二是</w:t>
      </w:r>
      <w:r>
        <w:rPr>
          <w:rFonts w:hint="eastAsia" w:ascii="仿宋_GB2312" w:hAnsi="仿宋_GB2312" w:eastAsia="仿宋_GB2312" w:cs="仿宋_GB2312"/>
          <w:b w:val="0"/>
          <w:bCs/>
          <w:color w:val="000000" w:themeColor="text1"/>
          <w:sz w:val="32"/>
          <w:szCs w:val="32"/>
          <w:shd w:val="clear" w:color="auto" w:fill="FFFFFF"/>
          <w:lang w:eastAsia="zh-CN"/>
          <w14:textFill>
            <w14:solidFill>
              <w14:schemeClr w14:val="tx1"/>
            </w14:solidFill>
          </w14:textFill>
        </w:rPr>
        <w:t>部分公开信息分类不准确，信息公开的流程还有待进一步规范。</w:t>
      </w:r>
      <w:r>
        <w:rPr>
          <w:rFonts w:hint="eastAsia" w:ascii="仿宋_GB2312" w:hAnsi="仿宋_GB2312" w:eastAsia="仿宋_GB2312" w:cs="仿宋_GB2312"/>
          <w:b/>
          <w:bCs w:val="0"/>
          <w:color w:val="000000" w:themeColor="text1"/>
          <w:sz w:val="32"/>
          <w:szCs w:val="32"/>
          <w:shd w:val="clear" w:color="auto" w:fill="FFFFFF"/>
          <w:lang w:eastAsia="zh-CN"/>
          <w14:textFill>
            <w14:solidFill>
              <w14:schemeClr w14:val="tx1"/>
            </w14:solidFill>
          </w14:textFill>
        </w:rPr>
        <w:t>三是</w:t>
      </w:r>
      <w:r>
        <w:rPr>
          <w:rFonts w:hint="eastAsia" w:ascii="仿宋_GB2312" w:hAnsi="仿宋_GB2312" w:eastAsia="仿宋_GB2312" w:cs="仿宋_GB2312"/>
          <w:b w:val="0"/>
          <w:bCs/>
          <w:color w:val="000000" w:themeColor="text1"/>
          <w:sz w:val="32"/>
          <w:szCs w:val="32"/>
          <w:shd w:val="clear" w:color="auto" w:fill="FFFFFF"/>
          <w:lang w:eastAsia="zh-CN"/>
          <w14:textFill>
            <w14:solidFill>
              <w14:schemeClr w14:val="tx1"/>
            </w14:solidFill>
          </w14:textFill>
        </w:rPr>
        <w:t>队伍力量建设仍需加强，需进一步培养精通业务的管理和操作人员。</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firstLine="662" w:firstLineChars="206"/>
        <w:textAlignment w:val="auto"/>
        <w:rPr>
          <w:rFonts w:hint="eastAsia" w:ascii="仿宋_GB2312" w:hAnsi="仿宋_GB2312" w:eastAsia="仿宋_GB2312" w:cs="仿宋_GB2312"/>
          <w:b/>
          <w:color w:val="000000" w:themeColor="text1"/>
          <w:sz w:val="32"/>
          <w:szCs w:val="32"/>
          <w:shd w:val="clear" w:color="auto" w:fill="FFFFFF"/>
          <w:lang w:eastAsia="zh-CN"/>
          <w14:textFill>
            <w14:solidFill>
              <w14:schemeClr w14:val="tx1"/>
            </w14:solidFill>
          </w14:textFill>
        </w:rPr>
      </w:pPr>
      <w:r>
        <w:rPr>
          <w:rFonts w:hint="eastAsia" w:ascii="仿宋_GB2312" w:hAnsi="仿宋_GB2312" w:eastAsia="仿宋_GB2312" w:cs="仿宋_GB2312"/>
          <w:b/>
          <w:color w:val="000000" w:themeColor="text1"/>
          <w:sz w:val="32"/>
          <w:szCs w:val="32"/>
          <w:shd w:val="clear" w:color="auto" w:fill="FFFFFF"/>
          <w:lang w:eastAsia="zh-CN"/>
          <w14:textFill>
            <w14:solidFill>
              <w14:schemeClr w14:val="tx1"/>
            </w14:solidFill>
          </w14:textFill>
        </w:rPr>
        <w:t>（二）改进措施</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firstLine="659" w:firstLineChars="206"/>
        <w:textAlignment w:val="auto"/>
        <w:rPr>
          <w:rFonts w:hint="eastAsia" w:ascii="仿宋_GB2312" w:hAnsi="仿宋_GB2312" w:eastAsia="仿宋_GB2312" w:cs="仿宋_GB2312"/>
          <w:b w:val="0"/>
          <w:bCs/>
          <w:color w:val="000000" w:themeColor="text1"/>
          <w:sz w:val="32"/>
          <w:szCs w:val="32"/>
          <w:shd w:val="clear" w:color="auto" w:fill="FFFFFF"/>
          <w:lang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shd w:val="clear" w:color="auto" w:fill="FFFFFF"/>
          <w:lang w:eastAsia="zh-CN"/>
          <w14:textFill>
            <w14:solidFill>
              <w14:schemeClr w14:val="tx1"/>
            </w14:solidFill>
          </w14:textFill>
        </w:rPr>
        <w:t>在今后的工作中，我镇将从以下方面着手，扎实推进我镇政府信息公开工作更上新台阶。</w:t>
      </w:r>
    </w:p>
    <w:p>
      <w:pPr>
        <w:keepNext w:val="0"/>
        <w:keepLines w:val="0"/>
        <w:pageBreakBefore w:val="0"/>
        <w:widowControl/>
        <w:kinsoku/>
        <w:wordWrap/>
        <w:overflowPunct/>
        <w:topLinePunct w:val="0"/>
        <w:autoSpaceDE/>
        <w:autoSpaceDN/>
        <w:bidi w:val="0"/>
        <w:snapToGrid w:val="0"/>
        <w:spacing w:after="0" w:line="560" w:lineRule="exact"/>
        <w:ind w:left="0" w:leftChars="0" w:firstLine="641" w:firstLineChars="206"/>
        <w:textAlignment w:val="auto"/>
        <w:rPr>
          <w:rFonts w:hint="eastAsia" w:ascii="仿宋_GB2312" w:hAnsi="宋体"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bookmarkStart w:id="0" w:name="OLE_LINK1"/>
      <w:r>
        <w:rPr>
          <w:rStyle w:val="7"/>
          <w:rFonts w:hint="eastAsia" w:ascii="仿宋_GB2312" w:hAnsi="微软雅黑" w:eastAsia="仿宋_GB2312" w:cs="仿宋_GB2312"/>
          <w:b/>
          <w:i w:val="0"/>
          <w:caps w:val="0"/>
          <w:color w:val="333333"/>
          <w:spacing w:val="0"/>
          <w:sz w:val="31"/>
          <w:szCs w:val="31"/>
          <w:lang w:eastAsia="zh-CN"/>
        </w:rPr>
        <w:t>一是强化体系建设</w:t>
      </w:r>
      <w:r>
        <w:rPr>
          <w:rStyle w:val="7"/>
          <w:rFonts w:ascii="仿宋_GB2312" w:hAnsi="微软雅黑" w:eastAsia="仿宋_GB2312" w:cs="仿宋_GB2312"/>
          <w:b/>
          <w:i w:val="0"/>
          <w:caps w:val="0"/>
          <w:color w:val="333333"/>
          <w:spacing w:val="0"/>
          <w:sz w:val="31"/>
          <w:szCs w:val="31"/>
        </w:rPr>
        <w:t>，提</w:t>
      </w:r>
      <w:r>
        <w:rPr>
          <w:rStyle w:val="7"/>
          <w:rFonts w:hint="eastAsia" w:ascii="仿宋_GB2312" w:hAnsi="微软雅黑" w:eastAsia="仿宋_GB2312" w:cs="仿宋_GB2312"/>
          <w:b/>
          <w:i w:val="0"/>
          <w:caps w:val="0"/>
          <w:color w:val="333333"/>
          <w:spacing w:val="0"/>
          <w:sz w:val="31"/>
          <w:szCs w:val="31"/>
          <w:lang w:eastAsia="zh-CN"/>
        </w:rPr>
        <w:t>升</w:t>
      </w:r>
      <w:r>
        <w:rPr>
          <w:rStyle w:val="7"/>
          <w:rFonts w:ascii="仿宋_GB2312" w:hAnsi="微软雅黑" w:eastAsia="仿宋_GB2312" w:cs="仿宋_GB2312"/>
          <w:b/>
          <w:i w:val="0"/>
          <w:caps w:val="0"/>
          <w:color w:val="333333"/>
          <w:spacing w:val="0"/>
          <w:sz w:val="31"/>
          <w:szCs w:val="31"/>
        </w:rPr>
        <w:t>公开</w:t>
      </w:r>
      <w:r>
        <w:rPr>
          <w:rStyle w:val="7"/>
          <w:rFonts w:hint="eastAsia" w:ascii="仿宋_GB2312" w:hAnsi="微软雅黑" w:eastAsia="仿宋_GB2312" w:cs="仿宋_GB2312"/>
          <w:b/>
          <w:i w:val="0"/>
          <w:caps w:val="0"/>
          <w:color w:val="333333"/>
          <w:spacing w:val="0"/>
          <w:sz w:val="31"/>
          <w:szCs w:val="31"/>
          <w:lang w:eastAsia="zh-CN"/>
        </w:rPr>
        <w:t>品质。</w:t>
      </w:r>
      <w:r>
        <w:rPr>
          <w:rFonts w:hint="eastAsia" w:ascii="仿宋_GB2312" w:hAnsi="宋体" w:eastAsia="仿宋_GB2312" w:cs="仿宋_GB2312"/>
          <w:i w:val="0"/>
          <w:iCs w:val="0"/>
          <w:caps w:val="0"/>
          <w:color w:val="000000" w:themeColor="text1"/>
          <w:spacing w:val="0"/>
          <w:sz w:val="32"/>
          <w:szCs w:val="32"/>
          <w:shd w:val="clear" w:fill="FFFFFF"/>
          <w:lang w:eastAsia="zh-CN"/>
          <w14:textFill>
            <w14:solidFill>
              <w14:schemeClr w14:val="tx1"/>
            </w14:solidFill>
          </w14:textFill>
        </w:rPr>
        <w:t>加强政府信息公开制度</w:t>
      </w:r>
      <w:r>
        <w:rPr>
          <w:rFonts w:ascii="仿宋_GB2312" w:hAnsi="宋体" w:eastAsia="仿宋_GB2312" w:cs="仿宋_GB2312"/>
          <w:i w:val="0"/>
          <w:iCs w:val="0"/>
          <w:caps w:val="0"/>
          <w:color w:val="000000" w:themeColor="text1"/>
          <w:spacing w:val="0"/>
          <w:sz w:val="32"/>
          <w:szCs w:val="32"/>
          <w:shd w:val="clear" w:fill="FFFFFF"/>
          <w14:textFill>
            <w14:solidFill>
              <w14:schemeClr w14:val="tx1"/>
            </w14:solidFill>
          </w14:textFill>
        </w:rPr>
        <w:t>建设，</w:t>
      </w:r>
      <w:r>
        <w:rPr>
          <w:rFonts w:hint="eastAsia" w:ascii="仿宋_GB2312" w:hAnsi="宋体" w:eastAsia="仿宋_GB2312" w:cs="仿宋_GB2312"/>
          <w:i w:val="0"/>
          <w:iCs w:val="0"/>
          <w:caps w:val="0"/>
          <w:color w:val="000000" w:themeColor="text1"/>
          <w:spacing w:val="0"/>
          <w:sz w:val="32"/>
          <w:szCs w:val="32"/>
          <w:shd w:val="clear" w:fill="FFFFFF"/>
          <w:lang w:eastAsia="zh-CN"/>
          <w14:textFill>
            <w14:solidFill>
              <w14:schemeClr w14:val="tx1"/>
            </w14:solidFill>
          </w14:textFill>
        </w:rPr>
        <w:t>在</w:t>
      </w:r>
      <w:r>
        <w:rPr>
          <w:rFonts w:hint="eastAsia" w:ascii="仿宋_GB2312" w:hAnsi="宋体"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信息发布的范围上求广、内</w:t>
      </w:r>
      <w:bookmarkEnd w:id="0"/>
      <w:r>
        <w:rPr>
          <w:rFonts w:hint="eastAsia" w:ascii="仿宋_GB2312" w:hAnsi="宋体"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容上求全，做到信息发布具有系统性、全面性、完整性及及时性。</w:t>
      </w:r>
    </w:p>
    <w:p>
      <w:pPr>
        <w:keepNext w:val="0"/>
        <w:keepLines w:val="0"/>
        <w:pageBreakBefore w:val="0"/>
        <w:widowControl/>
        <w:kinsoku/>
        <w:wordWrap/>
        <w:overflowPunct/>
        <w:topLinePunct w:val="0"/>
        <w:autoSpaceDE/>
        <w:autoSpaceDN/>
        <w:bidi w:val="0"/>
        <w:snapToGrid w:val="0"/>
        <w:spacing w:after="0" w:line="560" w:lineRule="exact"/>
        <w:ind w:left="0" w:leftChars="0" w:firstLine="641" w:firstLineChars="206"/>
        <w:textAlignment w:val="auto"/>
        <w:rPr>
          <w:rFonts w:hint="eastAsia" w:ascii="仿宋_GB2312" w:hAnsi="宋体"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Style w:val="7"/>
          <w:rFonts w:hint="eastAsia" w:ascii="仿宋_GB2312" w:hAnsi="微软雅黑" w:eastAsia="仿宋_GB2312" w:cs="仿宋_GB2312"/>
          <w:b/>
          <w:i w:val="0"/>
          <w:caps w:val="0"/>
          <w:color w:val="333333"/>
          <w:spacing w:val="0"/>
          <w:sz w:val="31"/>
          <w:szCs w:val="31"/>
          <w:lang w:eastAsia="zh-CN"/>
        </w:rPr>
        <w:t>二是坚持问题导向，规范公开内容。</w:t>
      </w:r>
      <w:r>
        <w:rPr>
          <w:rStyle w:val="7"/>
          <w:rFonts w:hint="eastAsia" w:ascii="仿宋_GB2312" w:hAnsi="微软雅黑" w:eastAsia="仿宋_GB2312" w:cs="仿宋_GB2312"/>
          <w:b w:val="0"/>
          <w:bCs/>
          <w:i w:val="0"/>
          <w:caps w:val="0"/>
          <w:color w:val="333333"/>
          <w:spacing w:val="0"/>
          <w:sz w:val="31"/>
          <w:szCs w:val="31"/>
          <w:lang w:eastAsia="zh-CN"/>
        </w:rPr>
        <w:t>坚持</w:t>
      </w:r>
      <w:r>
        <w:rPr>
          <w:rFonts w:hint="eastAsia" w:ascii="仿宋_GB2312" w:hAnsi="宋体" w:eastAsia="仿宋_GB2312" w:cs="仿宋_GB2312"/>
          <w:b w:val="0"/>
          <w:bCs/>
          <w:i w:val="0"/>
          <w:iCs w:val="0"/>
          <w:caps w:val="0"/>
          <w:color w:val="000000" w:themeColor="text1"/>
          <w:spacing w:val="0"/>
          <w:sz w:val="32"/>
          <w:szCs w:val="32"/>
          <w:shd w:val="clear" w:fill="FFFFFF"/>
          <w:lang w:val="en-US" w:eastAsia="zh-CN"/>
          <w14:textFill>
            <w14:solidFill>
              <w14:schemeClr w14:val="tx1"/>
            </w14:solidFill>
          </w14:textFill>
        </w:rPr>
        <w:t>以群众视角为指引，运用多样化形式解读政策，及时回应群众关切，</w:t>
      </w:r>
      <w:r>
        <w:rPr>
          <w:rFonts w:hint="eastAsia" w:ascii="仿宋_GB2312" w:hAnsi="宋体"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提高政民互动水平和为民服务实效，充分发挥政务公开对政府工作推进落地的支撑作用。</w:t>
      </w:r>
    </w:p>
    <w:p>
      <w:pPr>
        <w:keepNext w:val="0"/>
        <w:keepLines w:val="0"/>
        <w:pageBreakBefore w:val="0"/>
        <w:widowControl/>
        <w:kinsoku/>
        <w:wordWrap/>
        <w:overflowPunct/>
        <w:topLinePunct w:val="0"/>
        <w:autoSpaceDE/>
        <w:autoSpaceDN/>
        <w:bidi w:val="0"/>
        <w:snapToGrid w:val="0"/>
        <w:spacing w:after="0" w:line="560" w:lineRule="exact"/>
        <w:ind w:firstLine="622" w:firstLineChars="200"/>
        <w:textAlignment w:val="auto"/>
        <w:rPr>
          <w:rFonts w:hint="eastAsia" w:ascii="仿宋_GB2312" w:hAnsi="宋体"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Style w:val="7"/>
          <w:rFonts w:hint="eastAsia" w:ascii="仿宋_GB2312" w:hAnsi="微软雅黑" w:eastAsia="仿宋_GB2312" w:cs="仿宋_GB2312"/>
          <w:b/>
          <w:i w:val="0"/>
          <w:caps w:val="0"/>
          <w:color w:val="333333"/>
          <w:spacing w:val="0"/>
          <w:sz w:val="31"/>
          <w:szCs w:val="31"/>
          <w:lang w:eastAsia="zh-CN"/>
        </w:rPr>
        <w:t>三是夯实</w:t>
      </w:r>
      <w:r>
        <w:rPr>
          <w:rStyle w:val="7"/>
          <w:rFonts w:ascii="仿宋_GB2312" w:hAnsi="微软雅黑" w:eastAsia="仿宋_GB2312" w:cs="仿宋_GB2312"/>
          <w:b/>
          <w:i w:val="0"/>
          <w:caps w:val="0"/>
          <w:color w:val="333333"/>
          <w:spacing w:val="0"/>
          <w:sz w:val="31"/>
          <w:szCs w:val="31"/>
        </w:rPr>
        <w:t>人才</w:t>
      </w:r>
      <w:r>
        <w:rPr>
          <w:rStyle w:val="7"/>
          <w:rFonts w:hint="eastAsia" w:ascii="仿宋_GB2312" w:hAnsi="微软雅黑" w:eastAsia="仿宋_GB2312" w:cs="仿宋_GB2312"/>
          <w:b/>
          <w:i w:val="0"/>
          <w:caps w:val="0"/>
          <w:color w:val="333333"/>
          <w:spacing w:val="0"/>
          <w:sz w:val="31"/>
          <w:szCs w:val="31"/>
          <w:lang w:eastAsia="zh-CN"/>
        </w:rPr>
        <w:t>根基</w:t>
      </w:r>
      <w:r>
        <w:rPr>
          <w:rStyle w:val="7"/>
          <w:rFonts w:ascii="仿宋_GB2312" w:hAnsi="微软雅黑" w:eastAsia="仿宋_GB2312" w:cs="仿宋_GB2312"/>
          <w:b/>
          <w:i w:val="0"/>
          <w:caps w:val="0"/>
          <w:color w:val="333333"/>
          <w:spacing w:val="0"/>
          <w:sz w:val="31"/>
          <w:szCs w:val="31"/>
        </w:rPr>
        <w:t>，</w:t>
      </w:r>
      <w:r>
        <w:rPr>
          <w:rStyle w:val="7"/>
          <w:rFonts w:hint="eastAsia" w:ascii="仿宋_GB2312" w:hAnsi="微软雅黑" w:eastAsia="仿宋_GB2312" w:cs="仿宋_GB2312"/>
          <w:b/>
          <w:i w:val="0"/>
          <w:caps w:val="0"/>
          <w:color w:val="333333"/>
          <w:spacing w:val="0"/>
          <w:sz w:val="31"/>
          <w:szCs w:val="31"/>
          <w:lang w:eastAsia="zh-CN"/>
        </w:rPr>
        <w:t>拓宽信息渠道。</w:t>
      </w:r>
      <w:r>
        <w:rPr>
          <w:rFonts w:hint="eastAsia" w:ascii="仿宋_GB2312" w:hAnsi="宋体" w:eastAsia="仿宋_GB2312" w:cs="仿宋_GB2312"/>
          <w:i w:val="0"/>
          <w:iCs w:val="0"/>
          <w:caps w:val="0"/>
          <w:color w:val="000000" w:themeColor="text1"/>
          <w:spacing w:val="0"/>
          <w:sz w:val="32"/>
          <w:szCs w:val="32"/>
          <w:shd w:val="clear" w:fill="FFFFFF"/>
          <w:lang w:eastAsia="zh-CN"/>
          <w14:textFill>
            <w14:solidFill>
              <w14:schemeClr w14:val="tx1"/>
            </w14:solidFill>
          </w14:textFill>
        </w:rPr>
        <w:t>组织</w:t>
      </w:r>
      <w:r>
        <w:rPr>
          <w:rFonts w:hint="eastAsia" w:ascii="仿宋_GB2312" w:hAnsi="宋体"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工作人员</w:t>
      </w:r>
      <w:r>
        <w:rPr>
          <w:rFonts w:hint="eastAsia" w:ascii="仿宋_GB2312" w:hAnsi="宋体" w:eastAsia="仿宋_GB2312" w:cs="仿宋_GB2312"/>
          <w:i w:val="0"/>
          <w:iCs w:val="0"/>
          <w:caps w:val="0"/>
          <w:color w:val="000000" w:themeColor="text1"/>
          <w:spacing w:val="0"/>
          <w:sz w:val="32"/>
          <w:szCs w:val="32"/>
          <w:shd w:val="clear" w:fill="FFFFFF"/>
          <w:lang w:eastAsia="zh-CN"/>
          <w14:textFill>
            <w14:solidFill>
              <w14:schemeClr w14:val="tx1"/>
            </w14:solidFill>
          </w14:textFill>
        </w:rPr>
        <w:t>深入学习相关文件精神，增强镇干部的信息公开主动公开意识，</w:t>
      </w:r>
      <w:r>
        <w:rPr>
          <w:rFonts w:hint="eastAsia" w:ascii="仿宋_GB2312" w:hAnsi="宋体"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鼓励</w:t>
      </w:r>
      <w:bookmarkStart w:id="1" w:name="OLE_LINK2"/>
      <w:r>
        <w:rPr>
          <w:rFonts w:hint="eastAsia" w:ascii="仿宋_GB2312" w:hAnsi="宋体"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工作人员</w:t>
      </w:r>
      <w:bookmarkEnd w:id="1"/>
      <w:r>
        <w:rPr>
          <w:rFonts w:hint="eastAsia" w:ascii="仿宋_GB2312" w:hAnsi="宋体"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挖掘基层信息源，结合镇域特色与工作重点，丰富公开信息素材。</w:t>
      </w:r>
    </w:p>
    <w:p>
      <w:pPr>
        <w:pStyle w:val="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60" w:lineRule="exact"/>
        <w:ind w:left="0" w:leftChars="0" w:firstLine="659" w:firstLineChars="206"/>
        <w:textAlignment w:val="auto"/>
        <w:rPr>
          <w:rFonts w:hint="eastAsia" w:ascii="黑体" w:hAnsi="黑体" w:eastAsia="黑体" w:cs="黑体"/>
          <w:b w:val="0"/>
          <w:bCs/>
          <w:color w:val="000000" w:themeColor="text1"/>
          <w:sz w:val="32"/>
          <w:szCs w:val="32"/>
          <w:shd w:val="clear" w:color="auto" w:fill="FFFFFF"/>
          <w14:textFill>
            <w14:solidFill>
              <w14:schemeClr w14:val="tx1"/>
            </w14:solidFill>
          </w14:textFill>
        </w:rPr>
      </w:pPr>
      <w:r>
        <w:rPr>
          <w:rFonts w:hint="eastAsia" w:ascii="黑体" w:hAnsi="黑体" w:eastAsia="黑体" w:cs="黑体"/>
          <w:b w:val="0"/>
          <w:bCs/>
          <w:color w:val="000000" w:themeColor="text1"/>
          <w:sz w:val="32"/>
          <w:szCs w:val="32"/>
          <w:shd w:val="clear" w:color="auto" w:fill="FFFFFF"/>
          <w14:textFill>
            <w14:solidFill>
              <w14:schemeClr w14:val="tx1"/>
            </w14:solidFill>
          </w14:textFill>
        </w:rPr>
        <w:t>六、其他需要报告的事项</w:t>
      </w:r>
    </w:p>
    <w:p>
      <w:pPr>
        <w:keepNext w:val="0"/>
        <w:keepLines w:val="0"/>
        <w:pageBreakBefore w:val="0"/>
        <w:widowControl/>
        <w:kinsoku/>
        <w:wordWrap/>
        <w:overflowPunct/>
        <w:topLinePunct w:val="0"/>
        <w:autoSpaceDE/>
        <w:autoSpaceDN/>
        <w:bidi w:val="0"/>
        <w:snapToGrid w:val="0"/>
        <w:spacing w:after="0" w:line="560" w:lineRule="exact"/>
        <w:ind w:left="0" w:leftChars="0" w:firstLine="659" w:firstLineChars="206"/>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收取信息处理费的情况：本年度无发出收费通知，无收取信息处理费用</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kinsoku/>
        <w:wordWrap/>
        <w:overflowPunct/>
        <w:topLinePunct w:val="0"/>
        <w:autoSpaceDE/>
        <w:autoSpaceDN/>
        <w:bidi w:val="0"/>
        <w:snapToGrid w:val="0"/>
        <w:spacing w:after="0"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snapToGrid w:val="0"/>
        <w:spacing w:after="0"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firstLine="659" w:firstLineChars="206"/>
        <w:jc w:val="righ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龙岩市永定区金砂镇人民政府</w:t>
      </w:r>
    </w:p>
    <w:p>
      <w:pPr>
        <w:pStyle w:val="4"/>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jc w:val="center"/>
        <w:textAlignment w:val="auto"/>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2025年1月2日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3YjNhZmYzZjYxN2NkMTY5Y2E3NDY1N2FkOTczNDIifQ=="/>
  </w:docVars>
  <w:rsids>
    <w:rsidRoot w:val="6F9F29CB"/>
    <w:rsid w:val="04643EBB"/>
    <w:rsid w:val="061B51EB"/>
    <w:rsid w:val="07B00BAE"/>
    <w:rsid w:val="17886178"/>
    <w:rsid w:val="18B6120E"/>
    <w:rsid w:val="1B4548E5"/>
    <w:rsid w:val="259C4350"/>
    <w:rsid w:val="2D45120C"/>
    <w:rsid w:val="2DD4528A"/>
    <w:rsid w:val="2F9752B0"/>
    <w:rsid w:val="333C7F24"/>
    <w:rsid w:val="359D0C08"/>
    <w:rsid w:val="51681D33"/>
    <w:rsid w:val="56EC420D"/>
    <w:rsid w:val="5AD84127"/>
    <w:rsid w:val="6F9F29CB"/>
    <w:rsid w:val="6FCE3FA1"/>
    <w:rsid w:val="779A76EA"/>
    <w:rsid w:val="7C1728A9"/>
    <w:rsid w:val="7CD013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val="0"/>
      <w:adjustRightInd/>
      <w:snapToGrid/>
      <w:spacing w:before="100" w:beforeAutospacing="1" w:after="100" w:afterAutospacing="1"/>
    </w:pPr>
    <w:rPr>
      <w:rFonts w:ascii="Calibri" w:hAnsi="Calibri" w:eastAsia="宋体" w:cs="Times New Roman"/>
      <w:sz w:val="24"/>
      <w:szCs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2023-12-25T00:55:00Z</dcterms:created>
  <dc:creator>......besos</dc:creator>
  <cp:lastModifiedBy>Administrator</cp:lastModifiedBy>
  <cp:lastPrinted>2024-01-09T08:12:00Z</cp:lastPrinted>
  <dcterms:modified xsi:type="dcterms:W3CDTF">2025-04-18T07:55:09Z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534293A6B54E4DD09FE9B6E99959C2F6_13</vt:lpwstr>
  </property>
</Properties>
</file>