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overflowPunct/>
        <w:topLinePunct w:val="0"/>
        <w:autoSpaceDE/>
        <w:autoSpaceDN/>
        <w:bidi w:val="0"/>
        <w:adjustRightInd/>
        <w:snapToGrid/>
        <w:spacing w:line="580" w:lineRule="exact"/>
        <w:jc w:val="center"/>
        <w:textAlignment w:val="auto"/>
        <w:rPr>
          <w:rFonts w:hint="eastAsia" w:ascii="仿宋_GB2312" w:hAnsi="宋体" w:eastAsia="仿宋_GB2312" w:cs="仿宋_GB2312"/>
          <w:kern w:val="0"/>
          <w:sz w:val="34"/>
          <w:szCs w:val="34"/>
          <w:lang w:eastAsia="zh-CN" w:bidi="ar"/>
        </w:rPr>
      </w:pPr>
    </w:p>
    <w:p>
      <w:pPr>
        <w:keepNext w:val="0"/>
        <w:keepLines w:val="0"/>
        <w:pageBreakBefore w:val="0"/>
        <w:widowControl/>
        <w:kinsoku/>
        <w:overflowPunct/>
        <w:topLinePunct w:val="0"/>
        <w:autoSpaceDE/>
        <w:autoSpaceDN/>
        <w:bidi w:val="0"/>
        <w:adjustRightInd/>
        <w:snapToGrid/>
        <w:spacing w:line="580" w:lineRule="exact"/>
        <w:jc w:val="center"/>
        <w:textAlignment w:val="auto"/>
        <w:rPr>
          <w:rFonts w:hint="eastAsia" w:ascii="仿宋_GB2312" w:hAnsi="宋体" w:eastAsia="仿宋_GB2312" w:cs="仿宋_GB2312"/>
          <w:kern w:val="0"/>
          <w:sz w:val="34"/>
          <w:szCs w:val="34"/>
          <w:lang w:eastAsia="zh-CN" w:bidi="ar"/>
        </w:rPr>
      </w:pPr>
    </w:p>
    <w:p>
      <w:pPr>
        <w:keepNext w:val="0"/>
        <w:keepLines w:val="0"/>
        <w:pageBreakBefore w:val="0"/>
        <w:widowControl/>
        <w:kinsoku/>
        <w:overflowPunct/>
        <w:topLinePunct w:val="0"/>
        <w:autoSpaceDE/>
        <w:autoSpaceDN/>
        <w:bidi w:val="0"/>
        <w:adjustRightInd/>
        <w:snapToGrid/>
        <w:spacing w:line="580" w:lineRule="exact"/>
        <w:jc w:val="center"/>
        <w:textAlignment w:val="auto"/>
        <w:rPr>
          <w:rFonts w:hint="eastAsia" w:ascii="仿宋_GB2312" w:hAnsi="宋体" w:eastAsia="仿宋_GB2312" w:cs="仿宋_GB2312"/>
          <w:kern w:val="0"/>
          <w:sz w:val="34"/>
          <w:szCs w:val="34"/>
          <w:lang w:eastAsia="zh-CN" w:bidi="ar"/>
        </w:rPr>
      </w:pPr>
    </w:p>
    <w:p>
      <w:pPr>
        <w:keepNext w:val="0"/>
        <w:keepLines w:val="0"/>
        <w:pageBreakBefore w:val="0"/>
        <w:widowControl/>
        <w:kinsoku/>
        <w:overflowPunct/>
        <w:topLinePunct w:val="0"/>
        <w:autoSpaceDE/>
        <w:autoSpaceDN/>
        <w:bidi w:val="0"/>
        <w:adjustRightInd/>
        <w:snapToGrid/>
        <w:spacing w:line="580" w:lineRule="exact"/>
        <w:jc w:val="center"/>
        <w:textAlignment w:val="auto"/>
        <w:rPr>
          <w:rFonts w:hint="eastAsia" w:ascii="仿宋_GB2312" w:hAnsi="宋体" w:eastAsia="仿宋_GB2312" w:cs="仿宋_GB2312"/>
          <w:kern w:val="0"/>
          <w:sz w:val="34"/>
          <w:szCs w:val="34"/>
          <w:lang w:eastAsia="zh-CN" w:bidi="ar"/>
        </w:rPr>
      </w:pPr>
    </w:p>
    <w:p>
      <w:pPr>
        <w:keepNext w:val="0"/>
        <w:keepLines w:val="0"/>
        <w:pageBreakBefore w:val="0"/>
        <w:widowControl/>
        <w:kinsoku/>
        <w:overflowPunct/>
        <w:topLinePunct w:val="0"/>
        <w:autoSpaceDE/>
        <w:autoSpaceDN/>
        <w:bidi w:val="0"/>
        <w:adjustRightInd/>
        <w:snapToGrid/>
        <w:spacing w:line="580" w:lineRule="exact"/>
        <w:jc w:val="center"/>
        <w:textAlignment w:val="auto"/>
        <w:rPr>
          <w:rFonts w:hint="eastAsia" w:ascii="仿宋_GB2312" w:hAnsi="宋体" w:eastAsia="仿宋_GB2312" w:cs="仿宋_GB2312"/>
          <w:kern w:val="0"/>
          <w:sz w:val="34"/>
          <w:szCs w:val="34"/>
          <w:lang w:eastAsia="zh-CN" w:bidi="ar"/>
        </w:rPr>
      </w:pPr>
    </w:p>
    <w:p>
      <w:pPr>
        <w:keepNext w:val="0"/>
        <w:keepLines w:val="0"/>
        <w:pageBreakBefore w:val="0"/>
        <w:widowControl/>
        <w:kinsoku/>
        <w:overflowPunct/>
        <w:topLinePunct w:val="0"/>
        <w:autoSpaceDE/>
        <w:autoSpaceDN/>
        <w:bidi w:val="0"/>
        <w:adjustRightInd/>
        <w:snapToGrid/>
        <w:spacing w:line="580" w:lineRule="exact"/>
        <w:jc w:val="both"/>
        <w:textAlignment w:val="auto"/>
        <w:rPr>
          <w:rFonts w:hint="eastAsia" w:ascii="仿宋_GB2312" w:hAnsi="宋体" w:eastAsia="仿宋_GB2312" w:cs="仿宋_GB2312"/>
          <w:kern w:val="0"/>
          <w:sz w:val="34"/>
          <w:szCs w:val="34"/>
          <w:lang w:eastAsia="zh-CN" w:bidi="ar"/>
        </w:rPr>
      </w:pPr>
    </w:p>
    <w:p>
      <w:pPr>
        <w:keepNext w:val="0"/>
        <w:keepLines w:val="0"/>
        <w:pageBreakBefore w:val="0"/>
        <w:widowControl/>
        <w:kinsoku/>
        <w:overflowPunct/>
        <w:topLinePunct w:val="0"/>
        <w:autoSpaceDE/>
        <w:autoSpaceDN/>
        <w:bidi w:val="0"/>
        <w:adjustRightInd/>
        <w:snapToGrid/>
        <w:spacing w:line="580" w:lineRule="exact"/>
        <w:jc w:val="center"/>
        <w:textAlignment w:val="auto"/>
        <w:rPr>
          <w:rFonts w:hint="eastAsia" w:ascii="仿宋_GB2312" w:hAnsi="宋体" w:eastAsia="仿宋_GB2312" w:cs="仿宋_GB2312"/>
          <w:kern w:val="0"/>
          <w:sz w:val="34"/>
          <w:szCs w:val="34"/>
          <w:lang w:eastAsia="zh-CN" w:bidi="ar"/>
        </w:rPr>
      </w:pPr>
    </w:p>
    <w:p>
      <w:pPr>
        <w:keepNext w:val="0"/>
        <w:keepLines w:val="0"/>
        <w:pageBreakBefore w:val="0"/>
        <w:widowControl/>
        <w:kinsoku/>
        <w:overflowPunct/>
        <w:topLinePunct w:val="0"/>
        <w:autoSpaceDE/>
        <w:autoSpaceDN/>
        <w:bidi w:val="0"/>
        <w:adjustRightInd/>
        <w:snapToGrid/>
        <w:spacing w:line="580" w:lineRule="exact"/>
        <w:jc w:val="center"/>
        <w:textAlignment w:val="auto"/>
        <w:rPr>
          <w:rFonts w:ascii="仿宋_GB2312" w:hAnsi="宋体" w:eastAsia="仿宋_GB2312" w:cs="仿宋_GB2312"/>
          <w:kern w:val="0"/>
          <w:sz w:val="32"/>
          <w:szCs w:val="32"/>
          <w:lang w:bidi="ar"/>
        </w:rPr>
      </w:pPr>
      <w:r>
        <w:rPr>
          <w:rFonts w:hint="eastAsia" w:ascii="仿宋_GB2312" w:hAnsi="宋体" w:eastAsia="仿宋_GB2312" w:cs="仿宋_GB2312"/>
          <w:kern w:val="0"/>
          <w:sz w:val="32"/>
          <w:szCs w:val="32"/>
          <w:lang w:eastAsia="zh-CN" w:bidi="ar"/>
        </w:rPr>
        <w:t>金政</w:t>
      </w:r>
      <w:r>
        <w:rPr>
          <w:rFonts w:ascii="仿宋_GB2312" w:hAnsi="宋体" w:eastAsia="仿宋_GB2312" w:cs="仿宋_GB2312"/>
          <w:kern w:val="0"/>
          <w:sz w:val="32"/>
          <w:szCs w:val="32"/>
          <w:lang w:bidi="ar"/>
        </w:rPr>
        <w:t>〔202</w:t>
      </w:r>
      <w:r>
        <w:rPr>
          <w:rFonts w:hint="eastAsia" w:ascii="仿宋_GB2312" w:hAnsi="宋体" w:eastAsia="仿宋_GB2312" w:cs="仿宋_GB2312"/>
          <w:kern w:val="0"/>
          <w:sz w:val="32"/>
          <w:szCs w:val="32"/>
          <w:lang w:val="en-US" w:eastAsia="zh-CN" w:bidi="ar"/>
        </w:rPr>
        <w:t>4</w:t>
      </w:r>
      <w:r>
        <w:rPr>
          <w:rFonts w:ascii="仿宋_GB2312" w:hAnsi="宋体" w:eastAsia="仿宋_GB2312" w:cs="仿宋_GB2312"/>
          <w:kern w:val="0"/>
          <w:sz w:val="32"/>
          <w:szCs w:val="32"/>
          <w:lang w:bidi="ar"/>
        </w:rPr>
        <w:t>〕</w:t>
      </w:r>
      <w:r>
        <w:rPr>
          <w:rFonts w:hint="eastAsia" w:ascii="仿宋_GB2312" w:hAnsi="宋体" w:eastAsia="仿宋_GB2312" w:cs="仿宋_GB2312"/>
          <w:kern w:val="0"/>
          <w:sz w:val="32"/>
          <w:szCs w:val="32"/>
          <w:lang w:val="en-US" w:eastAsia="zh-CN" w:bidi="ar"/>
        </w:rPr>
        <w:t>12</w:t>
      </w:r>
      <w:r>
        <w:rPr>
          <w:rFonts w:ascii="仿宋_GB2312" w:hAnsi="宋体" w:eastAsia="仿宋_GB2312" w:cs="仿宋_GB2312"/>
          <w:kern w:val="0"/>
          <w:sz w:val="32"/>
          <w:szCs w:val="32"/>
          <w:lang w:bidi="ar"/>
        </w:rPr>
        <w:t>号</w:t>
      </w:r>
    </w:p>
    <w:p>
      <w:pPr>
        <w:keepNext w:val="0"/>
        <w:keepLines w:val="0"/>
        <w:pageBreakBefore w:val="0"/>
        <w:widowControl/>
        <w:kinsoku/>
        <w:overflowPunct/>
        <w:topLinePunct w:val="0"/>
        <w:autoSpaceDE/>
        <w:autoSpaceDN/>
        <w:bidi w:val="0"/>
        <w:adjustRightInd/>
        <w:snapToGrid/>
        <w:spacing w:line="580" w:lineRule="exact"/>
        <w:jc w:val="center"/>
        <w:textAlignment w:val="auto"/>
        <w:rPr>
          <w:rFonts w:ascii="仿宋_GB2312" w:hAnsi="宋体" w:eastAsia="仿宋_GB2312" w:cs="仿宋_GB2312"/>
          <w:kern w:val="0"/>
          <w:sz w:val="44"/>
          <w:szCs w:val="44"/>
          <w:lang w:bidi="ar"/>
        </w:rPr>
      </w:pPr>
    </w:p>
    <w:p>
      <w:pPr>
        <w:keepNext w:val="0"/>
        <w:keepLines w:val="0"/>
        <w:pageBreakBefore w:val="0"/>
        <w:widowControl/>
        <w:kinsoku/>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pacing w:val="-20"/>
          <w:kern w:val="0"/>
          <w:sz w:val="44"/>
          <w:szCs w:val="44"/>
          <w:lang w:eastAsia="zh-CN" w:bidi="ar"/>
        </w:rPr>
      </w:pPr>
      <w:r>
        <w:rPr>
          <w:rFonts w:hint="eastAsia" w:ascii="方正小标宋简体" w:hAnsi="方正小标宋简体" w:eastAsia="方正小标宋简体" w:cs="方正小标宋简体"/>
          <w:spacing w:val="-20"/>
          <w:kern w:val="0"/>
          <w:sz w:val="44"/>
          <w:szCs w:val="44"/>
          <w:lang w:eastAsia="zh-CN" w:bidi="ar"/>
        </w:rPr>
        <w:t>龙岩市永定区</w:t>
      </w:r>
      <w:r>
        <w:rPr>
          <w:rFonts w:hint="eastAsia" w:ascii="方正小标宋简体" w:hAnsi="方正小标宋简体" w:eastAsia="方正小标宋简体" w:cs="方正小标宋简体"/>
          <w:spacing w:val="-20"/>
          <w:kern w:val="0"/>
          <w:sz w:val="44"/>
          <w:szCs w:val="44"/>
          <w:lang w:val="en-US" w:eastAsia="zh-CN" w:bidi="ar"/>
        </w:rPr>
        <w:t>金砂镇</w:t>
      </w:r>
      <w:r>
        <w:rPr>
          <w:rFonts w:hint="eastAsia" w:ascii="方正小标宋简体" w:hAnsi="方正小标宋简体" w:eastAsia="方正小标宋简体" w:cs="方正小标宋简体"/>
          <w:spacing w:val="-20"/>
          <w:kern w:val="0"/>
          <w:sz w:val="44"/>
          <w:szCs w:val="44"/>
          <w:lang w:eastAsia="zh-CN" w:bidi="ar"/>
        </w:rPr>
        <w:t>人民政府关于印发</w:t>
      </w:r>
    </w:p>
    <w:p>
      <w:pPr>
        <w:keepNext w:val="0"/>
        <w:keepLines w:val="0"/>
        <w:pageBreakBefore w:val="0"/>
        <w:widowControl/>
        <w:kinsoku/>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pacing w:val="-20"/>
          <w:kern w:val="0"/>
          <w:sz w:val="44"/>
          <w:szCs w:val="44"/>
          <w:lang w:eastAsia="zh-CN" w:bidi="ar"/>
        </w:rPr>
      </w:pPr>
      <w:r>
        <w:rPr>
          <w:rFonts w:hint="eastAsia" w:ascii="方正小标宋简体" w:hAnsi="方正小标宋简体" w:eastAsia="方正小标宋简体" w:cs="方正小标宋简体"/>
          <w:spacing w:val="-20"/>
          <w:kern w:val="0"/>
          <w:sz w:val="44"/>
          <w:szCs w:val="44"/>
          <w:lang w:eastAsia="zh-CN" w:bidi="ar"/>
        </w:rPr>
        <w:t>《</w:t>
      </w:r>
      <w:r>
        <w:rPr>
          <w:rFonts w:hint="eastAsia" w:ascii="方正小标宋简体" w:hAnsi="方正小标宋简体" w:eastAsia="方正小标宋简体" w:cs="方正小标宋简体"/>
          <w:spacing w:val="-20"/>
          <w:kern w:val="0"/>
          <w:sz w:val="44"/>
          <w:szCs w:val="44"/>
          <w:lang w:val="en-US" w:eastAsia="zh-CN" w:bidi="ar"/>
        </w:rPr>
        <w:t>2024年金砂镇人民政府普法清单</w:t>
      </w:r>
      <w:r>
        <w:rPr>
          <w:rFonts w:hint="eastAsia" w:ascii="方正小标宋简体" w:hAnsi="方正小标宋简体" w:eastAsia="方正小标宋简体" w:cs="方正小标宋简体"/>
          <w:spacing w:val="-20"/>
          <w:kern w:val="0"/>
          <w:sz w:val="44"/>
          <w:szCs w:val="44"/>
          <w:lang w:eastAsia="zh-CN" w:bidi="ar"/>
        </w:rPr>
        <w:t>》的通知</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各党支部、村委会，</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直（办）各单位：</w:t>
      </w:r>
    </w:p>
    <w:p>
      <w:pPr>
        <w:keepNext w:val="0"/>
        <w:keepLines w:val="0"/>
        <w:pageBreakBefore w:val="0"/>
        <w:widowControl/>
        <w:kinsoku/>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eastAsia="zh-CN" w:bidi="ar"/>
        </w:rPr>
        <w:t>为贯彻落实“谁执法谁普法”责任制，</w:t>
      </w:r>
      <w:r>
        <w:rPr>
          <w:rFonts w:hint="eastAsia" w:ascii="仿宋_GB2312" w:hAnsi="仿宋_GB2312" w:eastAsia="仿宋_GB2312" w:cs="仿宋_GB2312"/>
          <w:kern w:val="0"/>
          <w:sz w:val="32"/>
          <w:szCs w:val="32"/>
          <w:lang w:bidi="ar"/>
        </w:rPr>
        <w:t>现将</w:t>
      </w:r>
      <w:r>
        <w:rPr>
          <w:rFonts w:hint="eastAsia" w:ascii="仿宋_GB2312" w:hAnsi="仿宋_GB2312" w:eastAsia="仿宋_GB2312" w:cs="仿宋_GB2312"/>
          <w:kern w:val="0"/>
          <w:sz w:val="32"/>
          <w:szCs w:val="32"/>
          <w:lang w:eastAsia="zh-CN" w:bidi="ar"/>
        </w:rPr>
        <w:t>《</w:t>
      </w:r>
      <w:r>
        <w:rPr>
          <w:rFonts w:hint="eastAsia" w:ascii="仿宋_GB2312" w:hAnsi="仿宋_GB2312" w:eastAsia="仿宋_GB2312" w:cs="仿宋_GB2312"/>
          <w:kern w:val="0"/>
          <w:sz w:val="32"/>
          <w:szCs w:val="32"/>
          <w:lang w:val="en-US" w:eastAsia="zh-CN" w:bidi="ar"/>
        </w:rPr>
        <w:t>2024年金砂镇人民政府普法清单</w:t>
      </w:r>
      <w:r>
        <w:rPr>
          <w:rFonts w:hint="eastAsia" w:ascii="仿宋_GB2312" w:hAnsi="仿宋_GB2312" w:eastAsia="仿宋_GB2312" w:cs="仿宋_GB2312"/>
          <w:kern w:val="0"/>
          <w:sz w:val="32"/>
          <w:szCs w:val="32"/>
          <w:lang w:eastAsia="zh-CN" w:bidi="ar"/>
        </w:rPr>
        <w:t>》印发给你们，请</w:t>
      </w:r>
      <w:r>
        <w:rPr>
          <w:rFonts w:hint="eastAsia" w:ascii="仿宋_GB2312" w:hAnsi="仿宋_GB2312" w:eastAsia="仿宋_GB2312" w:cs="仿宋_GB2312"/>
          <w:kern w:val="0"/>
          <w:sz w:val="32"/>
          <w:szCs w:val="32"/>
          <w:lang w:bidi="ar"/>
        </w:rPr>
        <w:t>结合实际，抓好</w:t>
      </w:r>
      <w:r>
        <w:rPr>
          <w:rFonts w:hint="eastAsia" w:ascii="仿宋_GB2312" w:hAnsi="仿宋_GB2312" w:eastAsia="仿宋_GB2312" w:cs="仿宋_GB2312"/>
          <w:kern w:val="0"/>
          <w:sz w:val="32"/>
          <w:szCs w:val="32"/>
          <w:lang w:eastAsia="zh-CN" w:bidi="ar"/>
        </w:rPr>
        <w:t>贯彻落实</w:t>
      </w:r>
      <w:r>
        <w:rPr>
          <w:rFonts w:hint="eastAsia" w:ascii="仿宋_GB2312" w:hAnsi="仿宋_GB2312" w:eastAsia="仿宋_GB2312" w:cs="仿宋_GB2312"/>
          <w:kern w:val="0"/>
          <w:sz w:val="32"/>
          <w:szCs w:val="32"/>
          <w:lang w:bidi="ar"/>
        </w:rPr>
        <w:t>。</w:t>
      </w:r>
    </w:p>
    <w:p>
      <w:pPr>
        <w:keepNext w:val="0"/>
        <w:keepLines w:val="0"/>
        <w:pageBreakBefore w:val="0"/>
        <w:widowControl/>
        <w:kinsoku/>
        <w:overflowPunct/>
        <w:topLinePunct w:val="0"/>
        <w:autoSpaceDE/>
        <w:autoSpaceDN/>
        <w:bidi w:val="0"/>
        <w:adjustRightInd/>
        <w:snapToGrid/>
        <w:spacing w:line="580" w:lineRule="exact"/>
        <w:ind w:firstLine="640" w:firstLineChars="200"/>
        <w:jc w:val="left"/>
        <w:textAlignment w:val="auto"/>
        <w:rPr>
          <w:rFonts w:hint="eastAsia" w:ascii="仿宋_GB2312" w:hAnsi="仿宋_GB2312" w:eastAsia="仿宋_GB2312" w:cs="仿宋_GB2312"/>
          <w:kern w:val="0"/>
          <w:sz w:val="32"/>
          <w:szCs w:val="32"/>
          <w:lang w:bidi="ar"/>
        </w:rPr>
      </w:pPr>
    </w:p>
    <w:p>
      <w:pPr>
        <w:keepNext w:val="0"/>
        <w:keepLines w:val="0"/>
        <w:pageBreakBefore w:val="0"/>
        <w:widowControl/>
        <w:kinsoku/>
        <w:wordWrap w:val="0"/>
        <w:overflowPunct/>
        <w:topLinePunct w:val="0"/>
        <w:autoSpaceDE/>
        <w:autoSpaceDN/>
        <w:bidi w:val="0"/>
        <w:adjustRightInd/>
        <w:snapToGrid/>
        <w:spacing w:line="580" w:lineRule="exact"/>
        <w:jc w:val="left"/>
        <w:textAlignment w:val="auto"/>
        <w:rPr>
          <w:rFonts w:hint="eastAsia" w:ascii="仿宋_GB2312" w:hAnsi="仿宋_GB2312" w:eastAsia="仿宋_GB2312" w:cs="仿宋_GB2312"/>
          <w:sz w:val="32"/>
          <w:szCs w:val="32"/>
        </w:rPr>
      </w:pPr>
    </w:p>
    <w:p>
      <w:pPr>
        <w:keepNext w:val="0"/>
        <w:keepLines w:val="0"/>
        <w:pageBreakBefore w:val="0"/>
        <w:widowControl/>
        <w:kinsoku/>
        <w:wordWrap w:val="0"/>
        <w:overflowPunct/>
        <w:topLinePunct w:val="0"/>
        <w:autoSpaceDE/>
        <w:autoSpaceDN/>
        <w:bidi w:val="0"/>
        <w:adjustRightInd/>
        <w:snapToGrid/>
        <w:spacing w:line="580" w:lineRule="exact"/>
        <w:ind w:firstLine="4480" w:firstLineChars="1400"/>
        <w:jc w:val="left"/>
        <w:textAlignment w:val="auto"/>
        <w:rPr>
          <w:rFonts w:hint="eastAsia" w:ascii="仿宋_GB2312" w:hAnsi="仿宋_GB2312" w:eastAsia="仿宋_GB2312" w:cs="仿宋_GB2312"/>
          <w:sz w:val="32"/>
          <w:szCs w:val="32"/>
          <w:lang w:eastAsia="zh-CN"/>
        </w:rPr>
      </w:pPr>
    </w:p>
    <w:p>
      <w:pPr>
        <w:keepNext w:val="0"/>
        <w:keepLines w:val="0"/>
        <w:pageBreakBefore w:val="0"/>
        <w:widowControl/>
        <w:kinsoku/>
        <w:wordWrap w:val="0"/>
        <w:overflowPunct/>
        <w:topLinePunct w:val="0"/>
        <w:autoSpaceDE/>
        <w:autoSpaceDN/>
        <w:bidi w:val="0"/>
        <w:adjustRightInd/>
        <w:snapToGrid/>
        <w:spacing w:line="580" w:lineRule="exact"/>
        <w:ind w:firstLine="4480" w:firstLineChars="1400"/>
        <w:jc w:val="left"/>
        <w:textAlignment w:val="auto"/>
        <w:rPr>
          <w:rFonts w:hint="eastAsia" w:ascii="仿宋_GB2312" w:hAnsi="仿宋_GB2312" w:eastAsia="仿宋_GB2312" w:cs="仿宋_GB2312"/>
          <w:kern w:val="0"/>
          <w:sz w:val="32"/>
          <w:szCs w:val="32"/>
          <w:lang w:bidi="ar"/>
        </w:rPr>
      </w:pPr>
      <w:r>
        <w:rPr>
          <w:rFonts w:hint="eastAsia" w:ascii="仿宋_GB2312" w:hAnsi="仿宋_GB2312" w:eastAsia="仿宋_GB2312" w:cs="仿宋_GB2312"/>
          <w:sz w:val="32"/>
          <w:szCs w:val="32"/>
          <w:lang w:eastAsia="zh-CN"/>
        </w:rPr>
        <w:t>龙岩市永定区金砂镇人民政府</w:t>
      </w:r>
      <w:r>
        <w:rPr>
          <w:rFonts w:hint="eastAsia" w:ascii="仿宋_GB2312" w:hAnsi="仿宋_GB2312" w:eastAsia="仿宋_GB2312" w:cs="仿宋_GB2312"/>
          <w:kern w:val="0"/>
          <w:sz w:val="32"/>
          <w:szCs w:val="32"/>
          <w:lang w:val="en-US" w:eastAsia="zh-CN" w:bidi="ar"/>
        </w:rPr>
        <w:t xml:space="preserve">                                   </w:t>
      </w:r>
      <w:r>
        <w:rPr>
          <w:rFonts w:hint="eastAsia" w:ascii="仿宋_GB2312" w:hAnsi="仿宋_GB2312" w:eastAsia="仿宋_GB2312" w:cs="仿宋_GB2312"/>
          <w:kern w:val="0"/>
          <w:sz w:val="32"/>
          <w:szCs w:val="32"/>
          <w:lang w:bidi="ar"/>
        </w:rPr>
        <w:t>202</w:t>
      </w:r>
      <w:r>
        <w:rPr>
          <w:rFonts w:hint="eastAsia" w:ascii="仿宋_GB2312" w:hAnsi="仿宋_GB2312" w:eastAsia="仿宋_GB2312" w:cs="仿宋_GB2312"/>
          <w:kern w:val="0"/>
          <w:sz w:val="32"/>
          <w:szCs w:val="32"/>
          <w:lang w:val="en-US" w:eastAsia="zh-CN" w:bidi="ar"/>
        </w:rPr>
        <w:t>4</w:t>
      </w:r>
      <w:r>
        <w:rPr>
          <w:rFonts w:hint="eastAsia" w:ascii="仿宋_GB2312" w:hAnsi="仿宋_GB2312" w:eastAsia="仿宋_GB2312" w:cs="仿宋_GB2312"/>
          <w:kern w:val="0"/>
          <w:sz w:val="32"/>
          <w:szCs w:val="32"/>
          <w:lang w:bidi="ar"/>
        </w:rPr>
        <w:t xml:space="preserve">年 </w:t>
      </w:r>
      <w:r>
        <w:rPr>
          <w:rFonts w:hint="eastAsia" w:ascii="仿宋_GB2312" w:hAnsi="仿宋_GB2312" w:eastAsia="仿宋_GB2312" w:cs="仿宋_GB2312"/>
          <w:kern w:val="0"/>
          <w:sz w:val="32"/>
          <w:szCs w:val="32"/>
          <w:lang w:val="en-US" w:eastAsia="zh-CN" w:bidi="ar"/>
        </w:rPr>
        <w:t>4</w:t>
      </w:r>
      <w:r>
        <w:rPr>
          <w:rFonts w:hint="eastAsia" w:ascii="仿宋_GB2312" w:hAnsi="仿宋_GB2312" w:eastAsia="仿宋_GB2312" w:cs="仿宋_GB2312"/>
          <w:kern w:val="0"/>
          <w:sz w:val="32"/>
          <w:szCs w:val="32"/>
          <w:lang w:bidi="ar"/>
        </w:rPr>
        <w:t>月</w:t>
      </w:r>
      <w:r>
        <w:rPr>
          <w:rFonts w:hint="eastAsia" w:ascii="仿宋_GB2312" w:hAnsi="仿宋_GB2312" w:eastAsia="仿宋_GB2312" w:cs="仿宋_GB2312"/>
          <w:kern w:val="0"/>
          <w:sz w:val="32"/>
          <w:szCs w:val="32"/>
          <w:lang w:val="en-US" w:eastAsia="zh-CN" w:bidi="ar"/>
        </w:rPr>
        <w:t>19</w:t>
      </w:r>
      <w:r>
        <w:rPr>
          <w:rFonts w:hint="eastAsia" w:ascii="仿宋_GB2312" w:hAnsi="仿宋_GB2312" w:eastAsia="仿宋_GB2312" w:cs="仿宋_GB2312"/>
          <w:kern w:val="0"/>
          <w:sz w:val="32"/>
          <w:szCs w:val="32"/>
          <w:lang w:bidi="ar"/>
        </w:rPr>
        <w:t>日</w:t>
      </w:r>
    </w:p>
    <w:p>
      <w:pPr>
        <w:keepNext w:val="0"/>
        <w:keepLines w:val="0"/>
        <w:pageBreakBefore w:val="0"/>
        <w:widowControl/>
        <w:kinsoku/>
        <w:overflowPunct/>
        <w:topLinePunct w:val="0"/>
        <w:autoSpaceDE/>
        <w:autoSpaceDN/>
        <w:bidi w:val="0"/>
        <w:adjustRightInd/>
        <w:snapToGrid/>
        <w:spacing w:line="580" w:lineRule="exact"/>
        <w:jc w:val="right"/>
        <w:textAlignment w:val="auto"/>
        <w:rPr>
          <w:rFonts w:hint="eastAsia" w:ascii="楷体_GB2312" w:hAnsi="宋体" w:eastAsia="楷体_GB2312" w:cs="楷体_GB2312"/>
          <w:kern w:val="0"/>
          <w:sz w:val="31"/>
          <w:szCs w:val="31"/>
          <w:lang w:bidi="ar"/>
        </w:rPr>
      </w:pPr>
    </w:p>
    <w:p/>
    <w:p/>
    <w:p/>
    <w:p/>
    <w:p/>
    <w:p>
      <w:pPr>
        <w:sectPr>
          <w:footerReference r:id="rId3" w:type="default"/>
          <w:pgSz w:w="11906" w:h="16838"/>
          <w:pgMar w:top="1440" w:right="1474" w:bottom="1440" w:left="1587" w:header="851" w:footer="992" w:gutter="0"/>
          <w:pgNumType w:fmt="numberInDash"/>
          <w:cols w:space="425" w:num="1"/>
          <w:docGrid w:type="lines" w:linePitch="312" w:charSpace="0"/>
        </w:sectPr>
      </w:pPr>
    </w:p>
    <w:tbl>
      <w:tblPr>
        <w:tblStyle w:val="4"/>
        <w:tblW w:w="13827"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8"/>
        <w:gridCol w:w="1824"/>
        <w:gridCol w:w="2145"/>
        <w:gridCol w:w="2385"/>
        <w:gridCol w:w="1635"/>
        <w:gridCol w:w="1245"/>
        <w:gridCol w:w="1560"/>
        <w:gridCol w:w="22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 w:hRule="atLeast"/>
        </w:trPr>
        <w:tc>
          <w:tcPr>
            <w:tcW w:w="13827" w:type="dxa"/>
            <w:gridSpan w:val="8"/>
            <w:tcBorders>
              <w:top w:val="nil"/>
              <w:left w:val="nil"/>
              <w:bottom w:val="nil"/>
              <w:right w:val="nil"/>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36"/>
                <w:szCs w:val="36"/>
                <w:u w:val="none"/>
              </w:rPr>
            </w:pPr>
            <w:r>
              <w:rPr>
                <w:rFonts w:hint="eastAsia" w:ascii="方正小标宋简体" w:hAnsi="方正小标宋简体" w:eastAsia="方正小标宋简体" w:cs="方正小标宋简体"/>
                <w:b w:val="0"/>
                <w:bCs w:val="0"/>
                <w:i w:val="0"/>
                <w:iCs w:val="0"/>
                <w:color w:val="000000"/>
                <w:kern w:val="0"/>
                <w:sz w:val="44"/>
                <w:szCs w:val="44"/>
                <w:u w:val="none"/>
                <w:lang w:val="en-US" w:eastAsia="zh-CN" w:bidi="ar"/>
              </w:rPr>
              <w:t>2024年龙岩市永定区金砂镇人民政府普法责任清单</w:t>
            </w:r>
            <w:r>
              <w:rPr>
                <w:rFonts w:hint="eastAsia" w:ascii="宋体" w:hAnsi="宋体" w:eastAsia="宋体" w:cs="宋体"/>
                <w:b/>
                <w:bCs/>
                <w:i w:val="0"/>
                <w:iCs w:val="0"/>
                <w:color w:val="000000"/>
                <w:kern w:val="0"/>
                <w:sz w:val="36"/>
                <w:szCs w:val="36"/>
                <w:u w:val="none"/>
                <w:lang w:val="en-US" w:eastAsia="zh-CN" w:bidi="ar"/>
              </w:rPr>
              <w:t xml:space="preserve"> </w:t>
            </w:r>
            <w:r>
              <w:rPr>
                <w:rFonts w:hint="eastAsia" w:ascii="宋体" w:hAnsi="宋体" w:eastAsia="宋体" w:cs="宋体"/>
                <w:b/>
                <w:bCs/>
                <w:i w:val="0"/>
                <w:iCs w:val="0"/>
                <w:color w:val="000000"/>
                <w:kern w:val="0"/>
                <w:sz w:val="36"/>
                <w:szCs w:val="36"/>
                <w:u w:val="none"/>
                <w:lang w:val="en-US" w:eastAsia="zh-CN" w:bidi="ar"/>
              </w:rPr>
              <w:br w:type="textWrapping"/>
            </w:r>
            <w:r>
              <w:rPr>
                <w:rFonts w:hint="eastAsia" w:ascii="宋体" w:hAnsi="宋体" w:eastAsia="宋体" w:cs="宋体"/>
                <w:b/>
                <w:bCs/>
                <w:i w:val="0"/>
                <w:iCs w:val="0"/>
                <w:color w:val="000000"/>
                <w:kern w:val="0"/>
                <w:sz w:val="36"/>
                <w:szCs w:val="36"/>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5" w:hRule="atLeast"/>
        </w:trPr>
        <w:tc>
          <w:tcPr>
            <w:tcW w:w="13827" w:type="dxa"/>
            <w:gridSpan w:val="8"/>
            <w:tcBorders>
              <w:top w:val="single" w:color="000000" w:sz="4" w:space="0"/>
              <w:left w:val="single" w:color="000000" w:sz="4" w:space="0"/>
              <w:bottom w:val="single" w:color="000000" w:sz="4" w:space="0"/>
              <w:right w:val="single" w:color="000000" w:sz="4" w:space="0"/>
            </w:tcBorders>
            <w:noWrap/>
            <w:vAlign w:val="center"/>
          </w:tcPr>
          <w:p>
            <w:pPr>
              <w:keepNext w:val="0"/>
              <w:keepLines w:val="0"/>
              <w:widowControl/>
              <w:suppressLineNumbers w:val="0"/>
              <w:spacing w:line="240" w:lineRule="auto"/>
              <w:jc w:val="both"/>
              <w:textAlignment w:val="center"/>
              <w:rPr>
                <w:rFonts w:hint="eastAsia" w:ascii="宋体" w:hAnsi="宋体" w:eastAsia="宋体" w:cs="宋体"/>
                <w:b/>
                <w:bCs/>
                <w:i w:val="0"/>
                <w:iCs w:val="0"/>
                <w:color w:val="FF0000"/>
                <w:sz w:val="24"/>
                <w:szCs w:val="24"/>
                <w:u w:val="none"/>
              </w:rPr>
            </w:pPr>
            <w:r>
              <w:rPr>
                <w:rFonts w:hint="eastAsia" w:ascii="宋体" w:hAnsi="宋体" w:eastAsia="宋体" w:cs="宋体"/>
                <w:b/>
                <w:bCs/>
                <w:i w:val="0"/>
                <w:iCs w:val="0"/>
                <w:color w:val="auto"/>
                <w:kern w:val="0"/>
                <w:sz w:val="24"/>
                <w:szCs w:val="24"/>
                <w:u w:val="none"/>
                <w:lang w:val="en-US" w:eastAsia="zh-CN" w:bidi="ar"/>
              </w:rPr>
              <w:t>单位：</w:t>
            </w:r>
            <w:r>
              <w:rPr>
                <w:rFonts w:hint="eastAsia" w:ascii="宋体" w:hAnsi="宋体" w:eastAsia="宋体" w:cs="宋体"/>
                <w:b/>
                <w:bCs/>
                <w:i w:val="0"/>
                <w:iCs w:val="0"/>
                <w:caps w:val="0"/>
                <w:color w:val="333333"/>
                <w:spacing w:val="0"/>
                <w:sz w:val="24"/>
                <w:szCs w:val="24"/>
                <w:shd w:val="clear" w:fill="FFFFFF"/>
              </w:rPr>
              <w:t>龙岩市永定区</w:t>
            </w:r>
            <w:r>
              <w:rPr>
                <w:rFonts w:hint="eastAsia" w:ascii="宋体" w:hAnsi="宋体" w:cs="宋体"/>
                <w:b/>
                <w:bCs/>
                <w:i w:val="0"/>
                <w:iCs w:val="0"/>
                <w:caps w:val="0"/>
                <w:color w:val="333333"/>
                <w:spacing w:val="0"/>
                <w:sz w:val="24"/>
                <w:szCs w:val="24"/>
                <w:shd w:val="clear" w:fill="FFFFFF"/>
                <w:lang w:eastAsia="zh-CN"/>
              </w:rPr>
              <w:t>金砂镇</w:t>
            </w:r>
            <w:r>
              <w:rPr>
                <w:rFonts w:hint="eastAsia" w:ascii="宋体" w:hAnsi="宋体" w:eastAsia="宋体" w:cs="宋体"/>
                <w:b/>
                <w:bCs/>
                <w:i w:val="0"/>
                <w:iCs w:val="0"/>
                <w:caps w:val="0"/>
                <w:color w:val="333333"/>
                <w:spacing w:val="0"/>
                <w:sz w:val="24"/>
                <w:szCs w:val="24"/>
                <w:shd w:val="clear" w:fill="FFFFFF"/>
              </w:rPr>
              <w:t>人民政府</w:t>
            </w:r>
            <w:r>
              <w:rPr>
                <w:rStyle w:val="8"/>
                <w:lang w:val="en-US" w:eastAsia="zh-CN" w:bidi="ar"/>
              </w:rPr>
              <w:t xml:space="preserve">                                                       202</w:t>
            </w:r>
            <w:r>
              <w:rPr>
                <w:rStyle w:val="8"/>
                <w:rFonts w:hint="eastAsia"/>
                <w:lang w:val="en-US" w:eastAsia="zh-CN" w:bidi="ar"/>
              </w:rPr>
              <w:t>4</w:t>
            </w:r>
            <w:r>
              <w:rPr>
                <w:rStyle w:val="8"/>
                <w:lang w:val="en-US" w:eastAsia="zh-CN" w:bidi="ar"/>
              </w:rPr>
              <w:t>年</w:t>
            </w:r>
            <w:r>
              <w:rPr>
                <w:rStyle w:val="8"/>
                <w:rFonts w:hint="eastAsia"/>
                <w:lang w:val="en-US" w:eastAsia="zh-CN" w:bidi="ar"/>
              </w:rPr>
              <w:t>4</w:t>
            </w:r>
            <w:r>
              <w:rPr>
                <w:rStyle w:val="8"/>
                <w:lang w:val="en-US" w:eastAsia="zh-CN" w:bidi="ar"/>
              </w:rPr>
              <w:t>月</w:t>
            </w:r>
            <w:r>
              <w:rPr>
                <w:rStyle w:val="8"/>
                <w:rFonts w:hint="eastAsia"/>
                <w:lang w:val="en-US" w:eastAsia="zh-CN" w:bidi="ar"/>
              </w:rPr>
              <w:t>19</w:t>
            </w:r>
            <w:r>
              <w:rPr>
                <w:rStyle w:val="8"/>
                <w:lang w:val="en-US" w:eastAsia="zh-CN" w:bidi="ar"/>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55"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系统内普及的重点法律法规</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面向社会普及的重点法律法规</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责任领导及</w:t>
            </w:r>
            <w:r>
              <w:rPr>
                <w:rFonts w:hint="eastAsia" w:ascii="宋体" w:hAnsi="宋体" w:cs="宋体"/>
                <w:b/>
                <w:bCs/>
                <w:i w:val="0"/>
                <w:iCs w:val="0"/>
                <w:color w:val="000000"/>
                <w:kern w:val="0"/>
                <w:sz w:val="21"/>
                <w:szCs w:val="21"/>
                <w:u w:val="none"/>
                <w:lang w:val="en-US" w:eastAsia="zh-CN" w:bidi="ar"/>
              </w:rPr>
              <w:t>部门</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具体普法内容</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普法对象</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实施时间</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具体措施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5"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olor w:val="FF0000"/>
                <w:sz w:val="24"/>
                <w:szCs w:val="24"/>
                <w:u w:val="none"/>
                <w:lang w:eastAsia="zh-CN"/>
              </w:rPr>
            </w:pPr>
            <w:r>
              <w:rPr>
                <w:rFonts w:hint="eastAsia" w:ascii="宋体" w:hAnsi="宋体" w:eastAsia="宋体" w:cs="宋体"/>
                <w:i w:val="0"/>
                <w:iCs w:val="0"/>
                <w:caps w:val="0"/>
                <w:color w:val="333333"/>
                <w:spacing w:val="0"/>
                <w:sz w:val="24"/>
                <w:szCs w:val="24"/>
                <w:shd w:val="clear" w:fill="FFFFFF"/>
              </w:rPr>
              <w:t>《中华人民共和国保守国家秘密法》《中华人民共和国密码法》《党政机关公文处理工作条例》《中华人民共和国政府信息公开条例》等</w:t>
            </w:r>
            <w:r>
              <w:rPr>
                <w:rFonts w:hint="eastAsia" w:ascii="宋体" w:hAnsi="宋体" w:cs="宋体"/>
                <w:i w:val="0"/>
                <w:iCs w:val="0"/>
                <w:caps w:val="0"/>
                <w:color w:val="333333"/>
                <w:spacing w:val="0"/>
                <w:sz w:val="24"/>
                <w:szCs w:val="24"/>
                <w:shd w:val="clear" w:fill="FFFFFF"/>
                <w:lang w:eastAsia="zh-CN"/>
              </w:rPr>
              <w:t>。</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《中华人民共和国保守国家秘密法》《中华人民共和国密码法》《党政机关公文处理工作条例》《中华人民共和国政府信息公开条例》等。</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 xml:space="preserve">责任领导：吕丽红   </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责任部门：</w:t>
            </w:r>
            <w:r>
              <w:rPr>
                <w:rFonts w:hint="eastAsia" w:ascii="宋体" w:hAnsi="宋体" w:eastAsia="宋体" w:cs="宋体"/>
                <w:i w:val="0"/>
                <w:iCs w:val="0"/>
                <w:caps w:val="0"/>
                <w:color w:val="333333"/>
                <w:spacing w:val="0"/>
                <w:sz w:val="24"/>
                <w:szCs w:val="24"/>
                <w:shd w:val="clear" w:fill="FFFFFF"/>
              </w:rPr>
              <w:t>党政办</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保守国家秘密、公文处理和政府信息公开有关的法律法规。</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eastAsia="zh-CN"/>
              </w:rPr>
            </w:pPr>
            <w:r>
              <w:rPr>
                <w:rFonts w:hint="eastAsia" w:ascii="宋体" w:hAnsi="宋体" w:eastAsia="宋体" w:cs="宋体"/>
                <w:i w:val="0"/>
                <w:iCs w:val="0"/>
                <w:caps w:val="0"/>
                <w:color w:val="333333"/>
                <w:spacing w:val="0"/>
                <w:sz w:val="24"/>
                <w:szCs w:val="24"/>
                <w:shd w:val="clear" w:fill="FFFFFF"/>
              </w:rPr>
              <w:t>党政办干部职工</w:t>
            </w:r>
            <w:r>
              <w:rPr>
                <w:rFonts w:hint="eastAsia" w:ascii="宋体" w:hAnsi="宋体" w:eastAsia="宋体" w:cs="宋体"/>
                <w:i w:val="0"/>
                <w:iCs w:val="0"/>
                <w:caps w:val="0"/>
                <w:color w:val="333333"/>
                <w:spacing w:val="0"/>
                <w:sz w:val="24"/>
                <w:szCs w:val="24"/>
                <w:shd w:val="clear" w:fill="FFFFFF"/>
                <w:lang w:eastAsia="zh-CN"/>
              </w:rPr>
              <w:t>；</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eastAsia="zh-CN"/>
              </w:rPr>
            </w:pPr>
            <w:r>
              <w:rPr>
                <w:rFonts w:hint="eastAsia" w:ascii="宋体" w:hAnsi="宋体" w:eastAsia="宋体" w:cs="宋体"/>
                <w:i w:val="0"/>
                <w:iCs w:val="0"/>
                <w:caps w:val="0"/>
                <w:color w:val="333333"/>
                <w:spacing w:val="0"/>
                <w:sz w:val="24"/>
                <w:szCs w:val="24"/>
                <w:shd w:val="clear" w:fill="FFFFFF"/>
              </w:rPr>
              <w:t>社会公众</w:t>
            </w:r>
            <w:r>
              <w:rPr>
                <w:rFonts w:hint="eastAsia" w:ascii="宋体" w:hAnsi="宋体" w:eastAsia="宋体" w:cs="宋体"/>
                <w:i w:val="0"/>
                <w:iCs w:val="0"/>
                <w:caps w:val="0"/>
                <w:color w:val="333333"/>
                <w:spacing w:val="0"/>
                <w:sz w:val="24"/>
                <w:szCs w:val="24"/>
                <w:shd w:val="clear" w:fill="FFFFFF"/>
                <w:lang w:eastAsia="zh-CN"/>
              </w:rPr>
              <w:t>。</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2024年全年</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eastAsia="zh-CN"/>
              </w:rPr>
            </w:pPr>
            <w:r>
              <w:rPr>
                <w:rFonts w:hint="eastAsia" w:ascii="宋体" w:hAnsi="宋体" w:eastAsia="宋体" w:cs="宋体"/>
                <w:i w:val="0"/>
                <w:iCs w:val="0"/>
                <w:caps w:val="0"/>
                <w:color w:val="333333"/>
                <w:spacing w:val="0"/>
                <w:sz w:val="24"/>
                <w:szCs w:val="24"/>
                <w:shd w:val="clear" w:fill="FFFFFF"/>
              </w:rPr>
              <w:t>通过举办讲座、悬挂条幅等方式进行</w:t>
            </w:r>
            <w:r>
              <w:rPr>
                <w:rFonts w:hint="eastAsia" w:ascii="宋体" w:hAnsi="宋体" w:eastAsia="宋体" w:cs="宋体"/>
                <w:i w:val="0"/>
                <w:iCs w:val="0"/>
                <w:caps w:val="0"/>
                <w:color w:val="333333"/>
                <w:spacing w:val="0"/>
                <w:sz w:val="24"/>
                <w:szCs w:val="24"/>
                <w:shd w:val="clear" w:fill="FFFFFF"/>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8"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2</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《中国共产党章程 》《中国共产党支部工作条例（试行）》《中国共产党组织工作条例》《中国共产党党员权利保障条例》《中国共产党党和国家机关基层组织工作条例》《中华人民共和国公务员法》等</w:t>
            </w:r>
            <w:r>
              <w:rPr>
                <w:rFonts w:hint="eastAsia" w:ascii="宋体" w:hAnsi="宋体" w:eastAsia="宋体" w:cs="宋体"/>
                <w:i w:val="0"/>
                <w:iCs w:val="0"/>
                <w:caps w:val="0"/>
                <w:color w:val="333333"/>
                <w:spacing w:val="0"/>
                <w:sz w:val="24"/>
                <w:szCs w:val="24"/>
                <w:shd w:val="clear" w:fill="FFFFFF"/>
                <w:lang w:eastAsia="zh-CN"/>
              </w:rPr>
              <w:t>。</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《中国共产党章程 》《中国共产党支部工作条例（试行）》《中国共产党组织工作条例》《中国共产党党员权利保障条例》《中国共产党党和国家机关基层组织工作条例》《中华人民共和国公务员法》等</w:t>
            </w:r>
            <w:r>
              <w:rPr>
                <w:rFonts w:hint="eastAsia" w:ascii="宋体" w:hAnsi="宋体" w:eastAsia="宋体" w:cs="宋体"/>
                <w:i w:val="0"/>
                <w:iCs w:val="0"/>
                <w:caps w:val="0"/>
                <w:color w:val="333333"/>
                <w:spacing w:val="0"/>
                <w:sz w:val="24"/>
                <w:szCs w:val="24"/>
                <w:shd w:val="clear" w:fill="FFFFFF"/>
                <w:lang w:eastAsia="zh-CN"/>
              </w:rPr>
              <w:t>。</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both"/>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责任领导：张燕红</w:t>
            </w:r>
          </w:p>
          <w:p>
            <w:pPr>
              <w:keepNext w:val="0"/>
              <w:keepLines w:val="0"/>
              <w:widowControl/>
              <w:suppressLineNumbers w:val="0"/>
              <w:spacing w:line="240" w:lineRule="auto"/>
              <w:jc w:val="both"/>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责任部门：组织办、各党支部、村委会</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党章、党支部工作条例、组织工作条例、基层组织工作条例等有关的党内法规、党员的权利和义务等。</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全体公务员；机关、政法、</w:t>
            </w:r>
            <w:r>
              <w:rPr>
                <w:rFonts w:hint="eastAsia" w:ascii="宋体" w:hAnsi="宋体" w:eastAsia="宋体" w:cs="宋体"/>
                <w:i w:val="0"/>
                <w:iCs w:val="0"/>
                <w:caps w:val="0"/>
                <w:color w:val="333333"/>
                <w:spacing w:val="0"/>
                <w:sz w:val="24"/>
                <w:szCs w:val="24"/>
                <w:shd w:val="clear" w:fill="FFFFFF"/>
                <w:lang w:eastAsia="zh-CN"/>
              </w:rPr>
              <w:t>镇</w:t>
            </w:r>
            <w:r>
              <w:rPr>
                <w:rFonts w:hint="eastAsia" w:ascii="宋体" w:hAnsi="宋体" w:eastAsia="宋体" w:cs="宋体"/>
                <w:i w:val="0"/>
                <w:iCs w:val="0"/>
                <w:caps w:val="0"/>
                <w:color w:val="333333"/>
                <w:spacing w:val="0"/>
                <w:sz w:val="24"/>
                <w:szCs w:val="24"/>
                <w:shd w:val="clear" w:fill="FFFFFF"/>
              </w:rPr>
              <w:t>直、老干党支部党员领导干部职工；各村党支部全体党员</w:t>
            </w:r>
            <w:r>
              <w:rPr>
                <w:rFonts w:hint="eastAsia" w:ascii="宋体" w:hAnsi="宋体" w:eastAsia="宋体" w:cs="宋体"/>
                <w:i w:val="0"/>
                <w:iCs w:val="0"/>
                <w:caps w:val="0"/>
                <w:color w:val="333333"/>
                <w:spacing w:val="0"/>
                <w:sz w:val="24"/>
                <w:szCs w:val="24"/>
                <w:shd w:val="clear" w:fill="FFFFFF"/>
                <w:lang w:eastAsia="zh-CN"/>
              </w:rPr>
              <w:t>。</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2024年全年</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通过干部职工例会、邀请专家培训、专题党课、主题党日等方式开展集中学习和自学等。</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0"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3</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《中华人民共和国国家安全法》《中华人民共和国反有组织犯罪法》《中华人民共和国反电信网络诈骗法》《中华人民共和国禁毒法》《中国共产党政法工作条例》《信访工作条例》等。</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《中华人民共和国国家安全法》《中华人民共和国反有组织犯罪法》《中华人民共和国反电信网络诈骗法》《中华人民共和国禁毒法》《中国共产党政法工作条例》、《信访工作条例》等。</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both"/>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责任领导：吴树华</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责任部门：综治办、各党支部、村委会</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开展政法工作的党内法规；公民对维护国家安全的义务；信访工作的程序等。</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政法工作相关站、所、办干部职工；社会公众。</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2024年全年</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通过“4·15”全民国家安全教育日、6.26国际禁毒日等重要节点上街摆摊设点、分发宣传资料、专题党课、主题党日、集中学习和自学等方式开展。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5"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4</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《中华人民共和国兵役法》《反分裂国家法》《中华人民共和国国防法》《中华人民共和国反恐怖主义法》《中华人民共和国国防教育法》等。</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《中华人民共和国兵役法》《反分裂国家法》、《中华人民共和国国防法》《中华人民共和国反恐怖主义法》《中华人民共和国国防教育法》等。</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责任领导：唐宏开  责任部门：武装部</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《反分裂国家法》《中华人民共和国国防法》等有关维护国家安定统一的有关法律法规。</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武装部干部职工；民兵、适龄青年、退役军人。</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2024年上半年、下半年各一场。</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在七一建党、八一建军节等重要时间节点结合“法律七进”开展宣传；民兵点验会、发宣传彩页、悬挂条幅、广播宣传等方式进行。</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0"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5</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《最低生活保障条例》《农村五保供养工作条例》《社会救助暂行办法》等。</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《最低生活保障条例》、《农村五保供养工作条例》《社会救助暂行办法》等。</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both"/>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责任领导：郑芳艳</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责任部门：民政办、各党支部、村委会</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最低生活保障、农村五保供养和社会救助有关的法律法规。</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民政办干部职工、民政协理员、社会公众。</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2024年全年</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结合低保特困核查，利用进村入户、发宣传资料、面对面宣传等方式进行。</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0"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6</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《中华人民共和国农产品质量安全法》《中华人民共和国农民专业合作社法》《中华人民共和国基本农田保护条例》《中华人民共和国土地</w:t>
            </w:r>
            <w:r>
              <w:rPr>
                <w:rFonts w:hint="eastAsia" w:ascii="宋体" w:hAnsi="宋体" w:cs="宋体"/>
                <w:i w:val="0"/>
                <w:iCs w:val="0"/>
                <w:caps w:val="0"/>
                <w:color w:val="333333"/>
                <w:spacing w:val="0"/>
                <w:sz w:val="24"/>
                <w:szCs w:val="24"/>
                <w:shd w:val="clear" w:fill="FFFFFF"/>
                <w:lang w:eastAsia="zh-CN"/>
              </w:rPr>
              <w:t>管理</w:t>
            </w:r>
            <w:r>
              <w:rPr>
                <w:rFonts w:hint="eastAsia" w:ascii="宋体" w:hAnsi="宋体" w:eastAsia="宋体" w:cs="宋体"/>
                <w:i w:val="0"/>
                <w:iCs w:val="0"/>
                <w:caps w:val="0"/>
                <w:color w:val="333333"/>
                <w:spacing w:val="0"/>
                <w:sz w:val="24"/>
                <w:szCs w:val="24"/>
                <w:shd w:val="clear" w:fill="FFFFFF"/>
              </w:rPr>
              <w:t>法》《中华人民共和国种子法》《中华人民共和国农村土地承包法》《中华人民共和国农村土地承包经营纠纷法调解仲裁法》《农村土地经营权流转管理办法》等。</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《中华人民共和国农产品质量安全法》《中华人民共和国基本农田保护条例》《中华人民共和国土地</w:t>
            </w:r>
            <w:r>
              <w:rPr>
                <w:rFonts w:hint="eastAsia" w:ascii="宋体" w:hAnsi="宋体" w:cs="宋体"/>
                <w:i w:val="0"/>
                <w:iCs w:val="0"/>
                <w:caps w:val="0"/>
                <w:color w:val="333333"/>
                <w:spacing w:val="0"/>
                <w:sz w:val="24"/>
                <w:szCs w:val="24"/>
                <w:shd w:val="clear" w:fill="FFFFFF"/>
                <w:lang w:val="en-US" w:eastAsia="zh-CN"/>
              </w:rPr>
              <w:t>管理</w:t>
            </w:r>
            <w:r>
              <w:rPr>
                <w:rFonts w:hint="eastAsia" w:ascii="宋体" w:hAnsi="宋体" w:eastAsia="宋体" w:cs="宋体"/>
                <w:i w:val="0"/>
                <w:iCs w:val="0"/>
                <w:caps w:val="0"/>
                <w:color w:val="333333"/>
                <w:spacing w:val="0"/>
                <w:sz w:val="24"/>
                <w:szCs w:val="24"/>
                <w:shd w:val="clear" w:fill="FFFFFF"/>
                <w:lang w:val="en-US" w:eastAsia="zh-CN"/>
              </w:rPr>
              <w:t>法》《中华人民共和国种子法》《中华人民共和国农村土地承包法》《中华人民共和国农村土地承包经营纠纷法调解仲裁法》《农村土地经营权流转管理办法》等。</w:t>
            </w:r>
          </w:p>
          <w:p>
            <w:pPr>
              <w:keepNext w:val="0"/>
              <w:keepLines w:val="0"/>
              <w:widowControl/>
              <w:suppressLineNumbers w:val="0"/>
              <w:spacing w:line="240" w:lineRule="auto"/>
              <w:jc w:val="center"/>
              <w:textAlignment w:val="center"/>
              <w:rPr>
                <w:rFonts w:hint="default" w:ascii="宋体" w:hAnsi="宋体" w:eastAsia="宋体" w:cs="宋体"/>
                <w:i w:val="0"/>
                <w:iCs w:val="0"/>
                <w:caps w:val="0"/>
                <w:color w:val="333333"/>
                <w:spacing w:val="0"/>
                <w:sz w:val="24"/>
                <w:szCs w:val="24"/>
                <w:shd w:val="clear" w:fill="FFFFFF"/>
                <w:lang w:val="en-US" w:eastAsia="zh-CN"/>
              </w:rPr>
            </w:pP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both"/>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责任领导：吕丽红</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责任部门：农业站、各党支部、村委会</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农产品质量安全、基本农田保护等有关法律法规；农村土地承包经营纠纷、土地流转管理的处理程序、争议解决方式等有关法律法规。</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农业站干部职工；土地承包和流转经营主体；社会公众。</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2024年全年</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结合“法律七进”，利用进村入户、墟天摆摊设点、发宣传资料、悬挂条幅、广播宣传等方式进行。</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8"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7</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《中华人民共和国残疾人保障法》《中华人民共和国残疾人证管理办法》等。</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《中华人民共和国残疾人保障法》《中华人民共和国残疾人证管理办法》等。</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both"/>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责任领导：唐宏开</w:t>
            </w:r>
          </w:p>
          <w:p>
            <w:pPr>
              <w:keepNext w:val="0"/>
              <w:keepLines w:val="0"/>
              <w:widowControl/>
              <w:suppressLineNumbers w:val="0"/>
              <w:spacing w:line="240" w:lineRule="auto"/>
              <w:jc w:val="both"/>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责任部门：残联</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残疾人保障和残疾证管理有关的法律法规。</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残联干部职工、残疾人及其家属。</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2024年全年</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结合“法律七进”，利用进村入户、、发宣传资料、面对面宣传等方式进行。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0"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8</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《中华人民共和国退役军人保障法》《退役士兵安置条例》等。</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《中华人民共和国退役军人保障法》《退役士兵安置条例》等。</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both"/>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责任领导：唐宏开</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责任部门：退役军人服务站</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适龄青年、退役军人的权利和义务等有关内容。</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退役军人</w:t>
            </w:r>
            <w:r>
              <w:rPr>
                <w:rFonts w:hint="eastAsia" w:ascii="宋体" w:hAnsi="宋体" w:eastAsia="宋体" w:cs="宋体"/>
                <w:i w:val="0"/>
                <w:iCs w:val="0"/>
                <w:caps w:val="0"/>
                <w:color w:val="333333"/>
                <w:spacing w:val="0"/>
                <w:sz w:val="24"/>
                <w:szCs w:val="24"/>
                <w:shd w:val="clear" w:fill="FFFFFF"/>
                <w:lang w:eastAsia="zh-CN"/>
              </w:rPr>
              <w:t>服务</w:t>
            </w:r>
            <w:r>
              <w:rPr>
                <w:rFonts w:hint="eastAsia" w:ascii="宋体" w:hAnsi="宋体" w:eastAsia="宋体" w:cs="宋体"/>
                <w:i w:val="0"/>
                <w:iCs w:val="0"/>
                <w:caps w:val="0"/>
                <w:color w:val="333333"/>
                <w:spacing w:val="0"/>
                <w:sz w:val="24"/>
                <w:szCs w:val="24"/>
                <w:shd w:val="clear" w:fill="FFFFFF"/>
              </w:rPr>
              <w:t>站干部职工；退役军人。</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2024年全年</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在七一建党、八一建军节等重要时间节点结合“法律七进”开展宣传。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1"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9</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《中华人民共和国安全生产法》《地方党政领导干部安全生产责任制规定》《福建省地方党政领导干部安全生产责任制实施细则》等。</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《中华人民共和国安全生产法》</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责任领导：谢添松</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责任部门：安监站</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安全生产责任有关的法律法规。</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eastAsia="zh-CN"/>
              </w:rPr>
              <w:t>镇</w:t>
            </w:r>
            <w:r>
              <w:rPr>
                <w:rFonts w:hint="eastAsia" w:ascii="宋体" w:hAnsi="宋体" w:eastAsia="宋体" w:cs="宋体"/>
                <w:i w:val="0"/>
                <w:iCs w:val="0"/>
                <w:caps w:val="0"/>
                <w:color w:val="333333"/>
                <w:spacing w:val="0"/>
                <w:sz w:val="24"/>
                <w:szCs w:val="24"/>
                <w:shd w:val="clear" w:fill="FFFFFF"/>
              </w:rPr>
              <w:t>党政班子成员、应急办干部职工；辖区企业、学校负责人。</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2024年全年</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在重要时间节点结合“法律七进”开展宣传；理论学习中心组学习、干部职工例会等方式进行。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50"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10</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《中华人民共和国森林法》《森林防火条例》 《福建省森林防火条例》《福建省林木林地纠纷处理条例》等。</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《中华人民共和国森林法》《森林防火条例》《福建省森林防火条例》《福建省林木林地纠纷处理条例》等。</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both"/>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责任领导：吴树华</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责任部门：林业站、各党支部、村委会</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森林防火及林木林地纠纷处理有关法律和地方性法规。</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林业站干部职工；</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社会公众。</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2024年全年</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结合“法律七进”，在春节、清明等重要时间节点利用进村入户、墟天摆摊设点、发宣传资料、悬挂条幅、广播宣传等方式进行。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86"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11</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《中国共产党廉洁自律准则》《中国共产党问责条例》《中国共产党纪律处分条例》《关于新形势下党内政治生活的若干准则》《中华人民共和国公职人员政务处分法 》《中华人民共和国监察法》等。</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《中国共产党廉洁自律准则》《中国共产党问责条例》《中国共产党纪律处分条例》《关于新形势下党内政治生活的若干准则》《中华人民共和国公职人员政务处分法 》《中华人民共和国监察法》等。</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both"/>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责任领导：沈照鹏</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责任部门：纪委办、监察室、各党支部、村委会</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廉洁自律准则、党内政治生活的若干准则等对党员领导干部的有关要求；纪律处分条例和政务处分法有关党员和公职人员应当遵守的相关党纪法规等。</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eastAsia="zh-CN"/>
              </w:rPr>
              <w:t>镇</w:t>
            </w:r>
            <w:r>
              <w:rPr>
                <w:rFonts w:hint="eastAsia" w:ascii="宋体" w:hAnsi="宋体" w:eastAsia="宋体" w:cs="宋体"/>
                <w:i w:val="0"/>
                <w:iCs w:val="0"/>
                <w:caps w:val="0"/>
                <w:color w:val="333333"/>
                <w:spacing w:val="0"/>
                <w:sz w:val="24"/>
                <w:szCs w:val="24"/>
                <w:shd w:val="clear" w:fill="FFFFFF"/>
              </w:rPr>
              <w:t>领导干部职工；各村党支部全体党员、村两委干部。</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2024年全年</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通过专题党课、主题党日、党纪学习教育等方式开展集中学习和自学等。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5"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12</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60" w:lineRule="exact"/>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党的二十大精神及二十届历次全会精神、《中国共产党党委（党组）理论学习中心组学习规则》《中国共产党宣传工作条例》《中国共产党统一战线工作条例》《宗教事务条例》《中华人民共和国网络安全法》等。</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党的二十大精神及二十届历次全会精神、《中国共产党宣传工作条例》《中国共产党统一战线工作条例》《宗教事务条例》《中华人民共和国网络安全法》等。</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both"/>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责任领导：李春书</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责任部门：宣传办、统战办</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党的二十大精神及二十届历次全会精神解读；党委理论学习中心组学习规则有关内容；宣传、统战工作条例等有关党内法规。</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全镇领导干部职工、党员、群众、企业、学校。</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2024年全年</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通过理论学习中心组学习、专题党课、主题党日、干部职工例会、邀请专家培训等方式进行。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3"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13</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《中华人民共和国传染病防治法》《突发公共卫生事件应急条例》《中华人民共和国基本医疗卫生与健康促进法》等。</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《中华人民共和国传染病防治法》《突发公共卫生事件应急条例》《中华人民共和国基本医疗卫生与健康促进法》等。</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both"/>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责任领导：郑芳艳</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责任部门：卫健办、卫生院、各党支部、村委会</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传染病防治、突发公共卫生事件应急处置等有关法律法规。</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eastAsia="zh-CN"/>
              </w:rPr>
              <w:t>卫健办干部职工；卫生院干部职工</w:t>
            </w:r>
            <w:r>
              <w:rPr>
                <w:rFonts w:hint="eastAsia" w:ascii="宋体" w:hAnsi="宋体" w:eastAsia="宋体" w:cs="宋体"/>
                <w:i w:val="0"/>
                <w:iCs w:val="0"/>
                <w:caps w:val="0"/>
                <w:color w:val="333333"/>
                <w:spacing w:val="0"/>
                <w:sz w:val="24"/>
                <w:szCs w:val="24"/>
                <w:shd w:val="clear" w:fill="FFFFFF"/>
              </w:rPr>
              <w:t>；社会公众</w:t>
            </w:r>
            <w:r>
              <w:rPr>
                <w:rFonts w:hint="eastAsia" w:ascii="宋体" w:hAnsi="宋体" w:eastAsia="宋体" w:cs="宋体"/>
                <w:i w:val="0"/>
                <w:iCs w:val="0"/>
                <w:caps w:val="0"/>
                <w:color w:val="333333"/>
                <w:spacing w:val="0"/>
                <w:sz w:val="24"/>
                <w:szCs w:val="24"/>
                <w:shd w:val="clear" w:fill="FFFFFF"/>
                <w:lang w:eastAsia="zh-CN"/>
              </w:rPr>
              <w:t>。</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2024年全年</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结合“法律七进”，利用进村入户、墟天摆摊设点、发宣传资料、悬挂条幅、广播宣传等方式进行。</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0"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14</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习近平法治思想、《党政主要负责人履行推进法治建设第一责任人职责规定》《宪法》《民法典》《中华人民共和国人民调解法》《中华人民共和国社区矫正法》《中华人民共和国社区矫正法实施办法》《福建省贯彻&lt;中华人民共和国社区矫正法&gt;实施细则》《中华人民共和国行政诉讼法》《中华人民共和国行政复议法》《中华人民共和国法律援助法》《龙岩市行政应诉管理办法》等。</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习近平法治思想、《宪法》《民法典》《中华人民共和国人民调解法》《中华人民共和国社区矫正法》《中华人民共和国社区矫正法实施办法》《福建省贯彻&lt;中华人民共和国社区矫正法&gt;实施细则》《中华人民共和国行政诉讼法》《中华人民共和国行政复议法》《中华人民共和国法律援助法》《龙岩市行政应诉管理办法》等。</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责任领导：王菁颖</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责任部门：司法所</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习近平法治思想的精神内涵和核心要旨；宪法、民法典有关的法律法规；人民调解、行政复议与诉讼、社区矫正、法律援助的工作流程以及相关人员的权利义务等有关内容。</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eastAsia="zh-CN"/>
              </w:rPr>
              <w:t>镇</w:t>
            </w:r>
            <w:r>
              <w:rPr>
                <w:rFonts w:hint="eastAsia" w:ascii="宋体" w:hAnsi="宋体" w:eastAsia="宋体" w:cs="宋体"/>
                <w:i w:val="0"/>
                <w:iCs w:val="0"/>
                <w:caps w:val="0"/>
                <w:color w:val="333333"/>
                <w:spacing w:val="0"/>
                <w:sz w:val="24"/>
                <w:szCs w:val="24"/>
                <w:shd w:val="clear" w:fill="FFFFFF"/>
              </w:rPr>
              <w:t>党委理论学习中心组成员；</w:t>
            </w:r>
            <w:r>
              <w:rPr>
                <w:rFonts w:hint="eastAsia" w:ascii="宋体" w:hAnsi="宋体" w:eastAsia="宋体" w:cs="宋体"/>
                <w:i w:val="0"/>
                <w:iCs w:val="0"/>
                <w:caps w:val="0"/>
                <w:color w:val="333333"/>
                <w:spacing w:val="0"/>
                <w:sz w:val="24"/>
                <w:szCs w:val="24"/>
                <w:shd w:val="clear" w:fill="FFFFFF"/>
                <w:lang w:eastAsia="zh-CN"/>
              </w:rPr>
              <w:t>镇</w:t>
            </w:r>
            <w:r>
              <w:rPr>
                <w:rFonts w:hint="eastAsia" w:ascii="宋体" w:hAnsi="宋体" w:eastAsia="宋体" w:cs="宋体"/>
                <w:i w:val="0"/>
                <w:iCs w:val="0"/>
                <w:caps w:val="0"/>
                <w:color w:val="333333"/>
                <w:spacing w:val="0"/>
                <w:sz w:val="24"/>
                <w:szCs w:val="24"/>
                <w:shd w:val="clear" w:fill="FFFFFF"/>
              </w:rPr>
              <w:t>村两级人民调解员及调解参与人；行政复议与诉讼的参与人；社区矫正对象；社会公众。</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2024年上半年、下半年各一场。</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通过理论学习中心组学习、专题培训、在5月民法典宣传月、12.4等重要时间节点结合“法律七进”、通过分发宣传资料、悬挂条幅、LED宣传等方式进行。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60"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15</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w:t>
            </w:r>
            <w:bookmarkStart w:id="0" w:name="_GoBack"/>
            <w:r>
              <w:rPr>
                <w:rFonts w:hint="eastAsia" w:ascii="宋体" w:hAnsi="宋体" w:eastAsia="宋体" w:cs="宋体"/>
                <w:i w:val="0"/>
                <w:iCs w:val="0"/>
                <w:caps w:val="0"/>
                <w:color w:val="333333"/>
                <w:spacing w:val="0"/>
                <w:sz w:val="24"/>
                <w:szCs w:val="24"/>
                <w:shd w:val="clear" w:fill="FFFFFF"/>
              </w:rPr>
              <w:t>中华人民共和国土地管理法</w:t>
            </w:r>
            <w:bookmarkEnd w:id="0"/>
            <w:r>
              <w:rPr>
                <w:rFonts w:hint="eastAsia" w:ascii="宋体" w:hAnsi="宋体" w:eastAsia="宋体" w:cs="宋体"/>
                <w:i w:val="0"/>
                <w:iCs w:val="0"/>
                <w:caps w:val="0"/>
                <w:color w:val="333333"/>
                <w:spacing w:val="0"/>
                <w:sz w:val="24"/>
                <w:szCs w:val="24"/>
                <w:shd w:val="clear" w:fill="FFFFFF"/>
              </w:rPr>
              <w:t>》《中华人民共和国测绘法》《国有土地上房屋征收与补偿条例》《中华人民共和国土地管理法实施条例》《基本农田保护条例》等</w:t>
            </w:r>
            <w:r>
              <w:rPr>
                <w:rFonts w:hint="eastAsia" w:ascii="宋体" w:hAnsi="宋体" w:eastAsia="宋体" w:cs="宋体"/>
                <w:i w:val="0"/>
                <w:iCs w:val="0"/>
                <w:caps w:val="0"/>
                <w:color w:val="333333"/>
                <w:spacing w:val="0"/>
                <w:sz w:val="24"/>
                <w:szCs w:val="24"/>
                <w:shd w:val="clear" w:fill="FFFFFF"/>
                <w:lang w:eastAsia="zh-CN"/>
              </w:rPr>
              <w:t>。</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《中华人民共和国土地管理法》《中华人民共和国测绘法》《国有土地上房屋征收与补偿条例》《中华人民共和国土地管理法实施条例》《基本农田保护条例》等。</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责任领导：李春书 </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责任部门：自然资源所、各党支部、村委会</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土地管理、国土空间测绘、基本农田保护有关的法律法规。</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自然资源所干部职工，社会公众。</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2024年全年</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通过两违巡查、进村入户发宣传资料、广播和宣传车宣传等方式开展宣传。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2"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16</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《中华人民共和国行政处罚法》《中华人民共和国行政强制法》《福建省违法建设处置若干规定》《住房和城乡建设行政处罚程序规定》等。</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《中华人民共和国行政处罚法》《中华人民共和国行政强制法》《福建省违法建设处置若干规定》《住房和城乡建设行政处罚程序规定》等。</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both"/>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责任领导：谢添松</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责任部门：综合执法大队、各党支部、村委会</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行政处罚、行政强制、违法建设处置等有关法律法规。</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综合执法大队干部职工，社会公众。</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2024年全年</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通过两违巡查、下村入户发宣传资料、广播和宣传车宣传等方式开展宣传。</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4"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17</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《劳动争议调解仲裁法》《中华人民共和国社会保险法》《中华人民共和国老年人权益保障法》《中华人民共和国医疗保障法》等。</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《劳动争议调解仲裁法》《中华人民共和国社会保险法》《中华人民共和国老年人权益保障法》《中华人民共和国医疗保障法》等。</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both"/>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责任领导：郑芳艳</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责任部门：人力资源和社会保障服务中心</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劳动争议处理、社会保险、老年人权益保障、医疗保障有关的法律法规。</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人力资源和社会保障服务中心</w:t>
            </w:r>
            <w:r>
              <w:rPr>
                <w:rFonts w:hint="eastAsia" w:ascii="宋体" w:hAnsi="宋体" w:eastAsia="宋体" w:cs="宋体"/>
                <w:i w:val="0"/>
                <w:iCs w:val="0"/>
                <w:caps w:val="0"/>
                <w:color w:val="333333"/>
                <w:spacing w:val="0"/>
                <w:sz w:val="24"/>
                <w:szCs w:val="24"/>
                <w:shd w:val="clear" w:fill="FFFFFF"/>
              </w:rPr>
              <w:t>干部职工，社会公众。</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2024年全年</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通过下村入户、发宣传资料、广播宣传等方式开展宣传。</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4"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18</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《中华人民共和国环境保护法》《中华人民共和国大气污染防治法》《中华人民共和国水污染防治法》《中华人民共和国固体废物污染环境防治法》等。</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《中华人民共和国环境保护法》《中华人民共和国大气污染防治法》《中华人民共和国水污染防治法》《中华人民共和国固体废物污染环境防治法》等。</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责任领导：吕丽红 </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责任部门：养殖业污染整治办、各党支部、村委会</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环境保护、大气、水污染防治和固体废物污染防治有关的法律法规。</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eastAsia="zh-CN"/>
              </w:rPr>
              <w:t>整治办</w:t>
            </w:r>
            <w:r>
              <w:rPr>
                <w:rFonts w:hint="eastAsia" w:ascii="宋体" w:hAnsi="宋体" w:eastAsia="宋体" w:cs="宋体"/>
                <w:i w:val="0"/>
                <w:iCs w:val="0"/>
                <w:caps w:val="0"/>
                <w:color w:val="333333"/>
                <w:spacing w:val="0"/>
                <w:sz w:val="24"/>
                <w:szCs w:val="24"/>
                <w:shd w:val="clear" w:fill="FFFFFF"/>
              </w:rPr>
              <w:t>干部职工，生猪养殖户，社会公众。</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2024年全年</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结合生猪养殖业污染整治，通过下村入户、发宣传资料、广播宣传等方式开展宣传。</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21"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19</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《中华人民共和国预算法》《中华人民共和国政府采购法》《中华人民共和国审计法》等。</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《中华人民共和国预算法》《中华人民共和国政府采购法》《中华人民共和国审计法》等</w:t>
            </w:r>
            <w:r>
              <w:rPr>
                <w:rFonts w:hint="eastAsia" w:ascii="宋体" w:hAnsi="宋体" w:eastAsia="宋体" w:cs="宋体"/>
                <w:i w:val="0"/>
                <w:iCs w:val="0"/>
                <w:caps w:val="0"/>
                <w:color w:val="333333"/>
                <w:spacing w:val="0"/>
                <w:sz w:val="24"/>
                <w:szCs w:val="24"/>
                <w:shd w:val="clear" w:fill="FFFFFF"/>
                <w:lang w:eastAsia="zh-CN"/>
              </w:rPr>
              <w:t>。</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责任领导：吕丽红 </w:t>
            </w:r>
          </w:p>
          <w:p>
            <w:pPr>
              <w:keepNext w:val="0"/>
              <w:keepLines w:val="0"/>
              <w:widowControl/>
              <w:suppressLineNumbers w:val="0"/>
              <w:spacing w:line="240" w:lineRule="auto"/>
              <w:jc w:val="both"/>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责任部门：财政所</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预算、政府采购、审计方面有关的法律法规。</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财政所干部职工。</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2024年全年</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通过检查、举办讲座、悬挂条幅等方式进行。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78"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20</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《中华人民共和国乡村振兴促进法》等。</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《中华人民共和国乡村振兴促进法》等。</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责任领导：吕丽红 </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责任部门：乡村振兴服务中心、各党支部、村委会</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乡村振兴、人居环境整治有关的法律法规。</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乡村振兴服务中心干部职工，社会公众。</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2024年全年</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结合人居环境整治，通过进村入户、发宣传资料、悬挂条幅等方式开展宣传。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0"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21</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《中华人民共和国道路交通安全法》</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《中华人民共和国道路交通安全法》</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both"/>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责任领导：卢威 </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责任部门：道安办、各党支部、村委会</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道路交通安全有关的法律法规。</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eastAsia="zh-CN"/>
              </w:rPr>
              <w:t>道安办</w:t>
            </w:r>
            <w:r>
              <w:rPr>
                <w:rFonts w:hint="eastAsia" w:ascii="宋体" w:hAnsi="宋体" w:eastAsia="宋体" w:cs="宋体"/>
                <w:i w:val="0"/>
                <w:iCs w:val="0"/>
                <w:caps w:val="0"/>
                <w:color w:val="333333"/>
                <w:spacing w:val="0"/>
                <w:sz w:val="24"/>
                <w:szCs w:val="24"/>
                <w:shd w:val="clear" w:fill="FFFFFF"/>
              </w:rPr>
              <w:t>干部职工；</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社会公众。</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2024年全年</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结合“法律七进”，利用进村入户、墟天摆摊设点、发宣传资料、悬挂条幅、广播宣传等方式进行。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39"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22</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《中华人民共和国水法》《中华人民共和国防洪法》《中华人民共和国水土保持法》《中华人民共和国河道管理条例》《农田水利条例》《福建省河道保护管理条例》等。</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《中华人民共和国水法》《中华人民共和国防洪法》《中华人民共和国水土保持法》《中华人民共和国河道管理条例》《农田水利条例》《福建省河道保护管理条例》等。</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责任领导：李春书 </w:t>
            </w:r>
          </w:p>
          <w:p>
            <w:pPr>
              <w:keepNext w:val="0"/>
              <w:keepLines w:val="0"/>
              <w:widowControl/>
              <w:suppressLineNumbers w:val="0"/>
              <w:spacing w:line="240" w:lineRule="auto"/>
              <w:jc w:val="both"/>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责任部门：水利站</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水资源保护与水污染防治有关的法律法规。</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水利站干部职工；</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社会公众。</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2024年全年</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利用进村入户、河道巡查、发宣传资料、悬挂条幅、广播宣传等方式进行。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48"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23</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《中华人民共和国刑法》《中华人民共和国治安管理处罚法》 《中华人民共和国突发事件应对法》等。</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《中华人民共和国刑法》《中华人民共和国治安管理处罚法》《中华人民共和国突发事件应对法》等。</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责任领导：卢威 </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责任部门：派出所</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刑罚对于各类刑事犯罪的定义及量刑标准；治安管理处罚及突发事件应对的参考标准和启动程序等。</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镇机关全体干部职工；社会公众。</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2024年全年</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结合“法律七进”，利用下村入户、墟天摆摊设点、发宣传资料、悬挂条幅、广播宣传等方式进行。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0"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24</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《中华人民共和国劳动法》《中华人民共和国劳动合同法》《中华人民共和国工会法》</w:t>
            </w:r>
            <w:r>
              <w:rPr>
                <w:rFonts w:hint="eastAsia" w:ascii="宋体" w:hAnsi="宋体" w:eastAsia="宋体" w:cs="宋体"/>
                <w:i w:val="0"/>
                <w:iCs w:val="0"/>
                <w:caps w:val="0"/>
                <w:color w:val="333333"/>
                <w:spacing w:val="0"/>
                <w:sz w:val="24"/>
                <w:szCs w:val="24"/>
                <w:shd w:val="clear" w:fill="FFFFFF"/>
                <w:lang w:eastAsia="zh-CN"/>
              </w:rPr>
              <w:t>等。</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eastAsia="zh-CN"/>
              </w:rPr>
            </w:pPr>
            <w:r>
              <w:rPr>
                <w:rFonts w:hint="eastAsia" w:ascii="宋体" w:hAnsi="宋体" w:eastAsia="宋体" w:cs="宋体"/>
                <w:i w:val="0"/>
                <w:iCs w:val="0"/>
                <w:caps w:val="0"/>
                <w:color w:val="333333"/>
                <w:spacing w:val="0"/>
                <w:sz w:val="24"/>
                <w:szCs w:val="24"/>
                <w:shd w:val="clear" w:fill="FFFFFF"/>
              </w:rPr>
              <w:t>《中华人民共和国劳动法》《中华人民共和国劳动合同法》《中华人民共和国工会法》</w:t>
            </w:r>
            <w:r>
              <w:rPr>
                <w:rFonts w:hint="eastAsia" w:ascii="宋体" w:hAnsi="宋体" w:eastAsia="宋体" w:cs="宋体"/>
                <w:i w:val="0"/>
                <w:iCs w:val="0"/>
                <w:caps w:val="0"/>
                <w:color w:val="333333"/>
                <w:spacing w:val="0"/>
                <w:sz w:val="24"/>
                <w:szCs w:val="24"/>
                <w:shd w:val="clear" w:fill="FFFFFF"/>
                <w:lang w:eastAsia="zh-CN"/>
              </w:rPr>
              <w:t>等。</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责任领导：吴树华 </w:t>
            </w:r>
          </w:p>
          <w:p>
            <w:pPr>
              <w:keepNext w:val="0"/>
              <w:keepLines w:val="0"/>
              <w:widowControl/>
              <w:suppressLineNumbers w:val="0"/>
              <w:spacing w:line="240" w:lineRule="auto"/>
              <w:jc w:val="both"/>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责任部门：工会</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劳动者的权利和义务；工会会员的权利和义务等有关内容。</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eastAsia="zh-CN"/>
              </w:rPr>
            </w:pPr>
            <w:r>
              <w:rPr>
                <w:rFonts w:hint="eastAsia" w:ascii="宋体" w:hAnsi="宋体" w:eastAsia="宋体" w:cs="宋体"/>
                <w:i w:val="0"/>
                <w:iCs w:val="0"/>
                <w:caps w:val="0"/>
                <w:color w:val="333333"/>
                <w:spacing w:val="0"/>
                <w:sz w:val="24"/>
                <w:szCs w:val="24"/>
                <w:shd w:val="clear" w:fill="FFFFFF"/>
              </w:rPr>
              <w:t>工会会员</w:t>
            </w:r>
            <w:r>
              <w:rPr>
                <w:rFonts w:hint="eastAsia" w:ascii="宋体" w:hAnsi="宋体" w:eastAsia="宋体" w:cs="宋体"/>
                <w:i w:val="0"/>
                <w:iCs w:val="0"/>
                <w:caps w:val="0"/>
                <w:color w:val="333333"/>
                <w:spacing w:val="0"/>
                <w:sz w:val="24"/>
                <w:szCs w:val="24"/>
                <w:shd w:val="clear" w:fill="FFFFFF"/>
                <w:lang w:eastAsia="zh-CN"/>
              </w:rPr>
              <w:t>；辖区各企业</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2024年全年</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在5.1等重要时间节点，以及结合“法律七进”开展宣传。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21"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25</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《中华人民共和国未成年人保护法》《中华人民共和国预防未成年人犯罪法》等。</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《中华人民共和国未成年人保护法》《中华人民共和国预防未成年人犯罪法》等。</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责任领导：张燕红 </w:t>
            </w:r>
          </w:p>
          <w:p>
            <w:pPr>
              <w:keepNext w:val="0"/>
              <w:keepLines w:val="0"/>
              <w:widowControl/>
              <w:suppressLineNumbers w:val="0"/>
              <w:spacing w:line="240" w:lineRule="auto"/>
              <w:jc w:val="both"/>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责任部门：团委</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rPr>
              <w:t>未成年人保护和预防未成年人犯罪有关法律法规。</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eastAsia="zh-CN"/>
              </w:rPr>
              <w:t>镇</w:t>
            </w:r>
            <w:r>
              <w:rPr>
                <w:rFonts w:hint="eastAsia" w:ascii="宋体" w:hAnsi="宋体" w:eastAsia="宋体" w:cs="宋体"/>
                <w:i w:val="0"/>
                <w:iCs w:val="0"/>
                <w:caps w:val="0"/>
                <w:color w:val="333333"/>
                <w:spacing w:val="0"/>
                <w:sz w:val="24"/>
                <w:szCs w:val="24"/>
                <w:shd w:val="clear" w:fill="FFFFFF"/>
              </w:rPr>
              <w:t>村两级团委干部；辖区中小学校学生。</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2024年全年</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在5.4、6.1等重要时间节点，以及开学第一课等方式结合“法律七进”开展宣传。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5"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28</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《中华人民共和国统计法》</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《中华人民共和国统计法》</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责任领导：赖菊梅 </w:t>
            </w:r>
          </w:p>
          <w:p>
            <w:pPr>
              <w:keepNext w:val="0"/>
              <w:keepLines w:val="0"/>
              <w:widowControl/>
              <w:suppressLineNumbers w:val="0"/>
              <w:spacing w:line="240" w:lineRule="auto"/>
              <w:jc w:val="both"/>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责任部门：统计站</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统计有关的法律法规。</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eastAsia="zh-CN"/>
              </w:rPr>
            </w:pPr>
            <w:r>
              <w:rPr>
                <w:rFonts w:hint="eastAsia" w:ascii="宋体" w:hAnsi="宋体" w:eastAsia="宋体" w:cs="宋体"/>
                <w:i w:val="0"/>
                <w:iCs w:val="0"/>
                <w:caps w:val="0"/>
                <w:color w:val="333333"/>
                <w:spacing w:val="0"/>
                <w:sz w:val="24"/>
                <w:szCs w:val="24"/>
                <w:shd w:val="clear" w:fill="FFFFFF"/>
              </w:rPr>
              <w:t>统计站干部职工；社会公众。</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2024年全年</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结合五经普，发宣传资料、悬挂条幅、广播宣传等方式进行。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88"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29</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《中华人民共和国妇女权益保障法》《中华人民共和国反家庭暴力法》《中华人民共和国家庭教育促进法》等。</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《中华人民共和国妇女权益保障法》《中华人民共和国反家庭暴力法》《中华人民共和国家庭教育促进法》等。</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责任领导：张燕红 </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r>
              <w:rPr>
                <w:rFonts w:hint="eastAsia" w:ascii="宋体" w:hAnsi="宋体" w:eastAsia="宋体" w:cs="宋体"/>
                <w:i w:val="0"/>
                <w:iCs w:val="0"/>
                <w:caps w:val="0"/>
                <w:color w:val="333333"/>
                <w:spacing w:val="0"/>
                <w:sz w:val="24"/>
                <w:szCs w:val="24"/>
                <w:shd w:val="clear" w:fill="FFFFFF"/>
                <w:lang w:val="en-US" w:eastAsia="zh-CN"/>
              </w:rPr>
              <w:t>责任部门：妇联、各党支部、村委会</w:t>
            </w: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妇女权益保障、反家庭暴力、家庭教育等方面有关法律法规。</w:t>
            </w: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eastAsia="zh-CN"/>
              </w:rPr>
              <w:t>镇</w:t>
            </w:r>
            <w:r>
              <w:rPr>
                <w:rFonts w:hint="eastAsia" w:ascii="宋体" w:hAnsi="宋体" w:eastAsia="宋体" w:cs="宋体"/>
                <w:i w:val="0"/>
                <w:iCs w:val="0"/>
                <w:caps w:val="0"/>
                <w:color w:val="333333"/>
                <w:spacing w:val="0"/>
                <w:sz w:val="24"/>
                <w:szCs w:val="24"/>
                <w:shd w:val="clear" w:fill="FFFFFF"/>
              </w:rPr>
              <w:t>村两级妇女委员会成员；</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社会公众。</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2024年全年</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通过妇女执委会、邀请专家培训、婚姻家庭纠纷排查调处等方式进行。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7" w:hRule="atLeast"/>
        </w:trPr>
        <w:tc>
          <w:tcPr>
            <w:tcW w:w="76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default" w:ascii="宋体" w:hAnsi="宋体" w:cs="宋体"/>
                <w:b/>
                <w:bCs/>
                <w:i w:val="0"/>
                <w:iCs w:val="0"/>
                <w:color w:val="000000"/>
                <w:kern w:val="0"/>
                <w:sz w:val="21"/>
                <w:szCs w:val="21"/>
                <w:u w:val="none"/>
                <w:lang w:val="en-US" w:eastAsia="zh-CN" w:bidi="ar"/>
              </w:rPr>
            </w:pPr>
            <w:r>
              <w:rPr>
                <w:rFonts w:hint="eastAsia" w:ascii="宋体" w:hAnsi="宋体" w:cs="宋体"/>
                <w:b/>
                <w:bCs/>
                <w:i w:val="0"/>
                <w:iCs w:val="0"/>
                <w:color w:val="000000"/>
                <w:kern w:val="0"/>
                <w:sz w:val="21"/>
                <w:szCs w:val="21"/>
                <w:u w:val="none"/>
                <w:lang w:val="en-US" w:eastAsia="zh-CN" w:bidi="ar"/>
              </w:rPr>
              <w:t>30</w:t>
            </w:r>
          </w:p>
        </w:tc>
        <w:tc>
          <w:tcPr>
            <w:tcW w:w="18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中华人民共和国城乡规划法》《福建省实施城乡规划法办法》《建设工程勘察设计管理条例》《民用建筑节能管理规定》《城市生活垃圾管理办法》《福建省城乡生活垃圾管理条例》《龙岩市生活垃圾分类管理办法》等。</w:t>
            </w:r>
          </w:p>
        </w:tc>
        <w:tc>
          <w:tcPr>
            <w:tcW w:w="21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中华人民共和国城乡规划法》《福建省实施城乡规划法办法》《建设工程勘察设计管理条例》《民用建筑节能管理规定》《城市生活垃圾管理办法》《福建省城乡生活垃圾管理条例》《龙岩市生活垃圾分类管理办法》等。</w:t>
            </w:r>
          </w:p>
        </w:tc>
        <w:tc>
          <w:tcPr>
            <w:tcW w:w="238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责任领导：谢添松 </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eastAsia="zh-CN"/>
              </w:rPr>
            </w:pPr>
            <w:r>
              <w:rPr>
                <w:rFonts w:hint="eastAsia" w:ascii="宋体" w:hAnsi="宋体" w:eastAsia="宋体" w:cs="宋体"/>
                <w:i w:val="0"/>
                <w:iCs w:val="0"/>
                <w:caps w:val="0"/>
                <w:color w:val="333333"/>
                <w:spacing w:val="0"/>
                <w:sz w:val="24"/>
                <w:szCs w:val="24"/>
                <w:shd w:val="clear" w:fill="FFFFFF"/>
                <w:lang w:val="en-US" w:eastAsia="zh-CN"/>
              </w:rPr>
              <w:t>责任部门：村镇建设站</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lang w:val="en-US" w:eastAsia="zh-CN"/>
              </w:rPr>
            </w:pPr>
          </w:p>
        </w:tc>
        <w:tc>
          <w:tcPr>
            <w:tcW w:w="163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城乡规划有关的法律法规、建设工程质量安全有关的法律法规规章、勘察设计行业的市场行为及质量行为的管理、民用建筑节能设计、施工的市场行为及质量管理；垃圾分类有关的法律法规。</w:t>
            </w:r>
          </w:p>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p>
        </w:tc>
        <w:tc>
          <w:tcPr>
            <w:tcW w:w="124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村镇建设站干部职工；建设工程相关从业人员；社会公众。</w:t>
            </w:r>
          </w:p>
        </w:tc>
        <w:tc>
          <w:tcPr>
            <w:tcW w:w="156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rPr>
              <w:t>2024年全年</w:t>
            </w:r>
          </w:p>
        </w:tc>
        <w:tc>
          <w:tcPr>
            <w:tcW w:w="226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line="240" w:lineRule="auto"/>
              <w:jc w:val="center"/>
              <w:textAlignment w:val="center"/>
              <w:rPr>
                <w:rFonts w:hint="eastAsia" w:ascii="宋体" w:hAnsi="宋体" w:eastAsia="宋体" w:cs="宋体"/>
                <w:i w:val="0"/>
                <w:iCs w:val="0"/>
                <w:caps w:val="0"/>
                <w:color w:val="333333"/>
                <w:spacing w:val="0"/>
                <w:sz w:val="24"/>
                <w:szCs w:val="24"/>
                <w:shd w:val="clear" w:fill="FFFFFF"/>
              </w:rPr>
            </w:pPr>
            <w:r>
              <w:rPr>
                <w:rFonts w:hint="eastAsia" w:ascii="宋体" w:hAnsi="宋体" w:eastAsia="宋体" w:cs="宋体"/>
                <w:i w:val="0"/>
                <w:iCs w:val="0"/>
                <w:caps w:val="0"/>
                <w:color w:val="333333"/>
                <w:spacing w:val="0"/>
                <w:sz w:val="24"/>
                <w:szCs w:val="24"/>
                <w:shd w:val="clear" w:fill="FFFFFF"/>
                <w:lang w:val="en-US" w:eastAsia="zh-CN"/>
              </w:rPr>
              <w:t>结合“法律七进”，利用下村入户、墟天摆摊设点、发宣传资料、悬挂条幅、广播宣传等方式进行。</w:t>
            </w:r>
          </w:p>
        </w:tc>
      </w:tr>
    </w:tbl>
    <w:p>
      <w:pPr>
        <w:jc w:val="both"/>
        <w:rPr>
          <w:sz w:val="21"/>
          <w:szCs w:val="21"/>
        </w:rPr>
        <w:sectPr>
          <w:footerReference r:id="rId4" w:type="default"/>
          <w:pgSz w:w="16838" w:h="11906" w:orient="landscape"/>
          <w:pgMar w:top="1417" w:right="1474" w:bottom="1417" w:left="1587" w:header="851" w:footer="992" w:gutter="0"/>
          <w:pgNumType w:fmt="numberInDash"/>
          <w:cols w:space="0" w:num="1"/>
          <w:rtlGutter w:val="0"/>
          <w:docGrid w:type="lines" w:linePitch="312" w:charSpace="0"/>
        </w:sectPr>
      </w:pPr>
    </w:p>
    <w:p>
      <w:pPr>
        <w:jc w:val="both"/>
        <w:rPr>
          <w:sz w:val="21"/>
          <w:szCs w:val="21"/>
        </w:rPr>
      </w:pPr>
    </w:p>
    <w:tbl>
      <w:tblPr>
        <w:tblStyle w:val="5"/>
        <w:tblpPr w:leftFromText="181" w:rightFromText="181" w:vertAnchor="page" w:horzAnchor="page" w:tblpX="1615" w:tblpY="13608"/>
        <w:tblOverlap w:val="never"/>
        <w:tblW w:w="8844" w:type="dxa"/>
        <w:jc w:val="center"/>
        <w:tblBorders>
          <w:top w:val="single" w:color="auto" w:sz="6" w:space="0"/>
          <w:left w:val="none" w:color="auto" w:sz="0" w:space="0"/>
          <w:bottom w:val="single" w:color="auto" w:sz="6"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8844"/>
      </w:tblGrid>
      <w:tr>
        <w:tblPrEx>
          <w:tblBorders>
            <w:top w:val="single" w:color="auto" w:sz="6" w:space="0"/>
            <w:left w:val="none" w:color="auto" w:sz="0" w:space="0"/>
            <w:bottom w:val="single" w:color="auto" w:sz="6"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8844" w:type="dxa"/>
            <w:tcBorders>
              <w:tl2br w:val="nil"/>
              <w:tr2bl w:val="nil"/>
            </w:tcBorders>
            <w:vAlign w:val="bottom"/>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 xml:space="preserve">  抄送：区委依法治区办，存档。</w:t>
            </w:r>
          </w:p>
        </w:tc>
      </w:tr>
      <w:tr>
        <w:tblPrEx>
          <w:tblBorders>
            <w:top w:val="single" w:color="auto" w:sz="6" w:space="0"/>
            <w:left w:val="none" w:color="auto" w:sz="0" w:space="0"/>
            <w:bottom w:val="single" w:color="auto" w:sz="6" w:space="0"/>
            <w:right w:val="none" w:color="auto" w:sz="0" w:space="0"/>
            <w:insideH w:val="single" w:color="auto" w:sz="4" w:space="0"/>
            <w:insideV w:val="none" w:color="auto" w:sz="0" w:space="0"/>
          </w:tblBorders>
          <w:tblCellMar>
            <w:top w:w="0" w:type="dxa"/>
            <w:left w:w="108" w:type="dxa"/>
            <w:bottom w:w="0" w:type="dxa"/>
            <w:right w:w="108" w:type="dxa"/>
          </w:tblCellMar>
        </w:tblPrEx>
        <w:trPr>
          <w:jc w:val="center"/>
        </w:trPr>
        <w:tc>
          <w:tcPr>
            <w:tcW w:w="8844" w:type="dxa"/>
            <w:tcBorders>
              <w:tl2br w:val="nil"/>
              <w:tr2bl w:val="nil"/>
            </w:tcBorders>
            <w:vAlign w:val="bottom"/>
          </w:tcPr>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 xml:space="preserve">  龙岩市永定区金砂镇党政综合办公室      2024年4月19日印发</w:t>
            </w:r>
          </w:p>
        </w:tc>
      </w:tr>
    </w:tbl>
    <w:p>
      <w:pPr>
        <w:jc w:val="both"/>
        <w:rPr>
          <w:sz w:val="21"/>
          <w:szCs w:val="21"/>
        </w:rPr>
      </w:pPr>
    </w:p>
    <w:p>
      <w:pPr>
        <w:jc w:val="both"/>
        <w:rPr>
          <w:sz w:val="21"/>
          <w:szCs w:val="21"/>
        </w:rPr>
      </w:pPr>
    </w:p>
    <w:p>
      <w:pPr>
        <w:jc w:val="both"/>
        <w:rPr>
          <w:sz w:val="21"/>
          <w:szCs w:val="21"/>
        </w:rPr>
      </w:pPr>
    </w:p>
    <w:p>
      <w:pPr>
        <w:jc w:val="both"/>
        <w:rPr>
          <w:sz w:val="21"/>
          <w:szCs w:val="21"/>
        </w:rPr>
      </w:pPr>
    </w:p>
    <w:p>
      <w:pPr>
        <w:jc w:val="both"/>
        <w:rPr>
          <w:sz w:val="21"/>
          <w:szCs w:val="21"/>
        </w:rPr>
      </w:pPr>
    </w:p>
    <w:p>
      <w:pPr>
        <w:jc w:val="both"/>
        <w:rPr>
          <w:sz w:val="21"/>
          <w:szCs w:val="21"/>
        </w:rPr>
      </w:pPr>
    </w:p>
    <w:p>
      <w:pPr>
        <w:jc w:val="both"/>
        <w:rPr>
          <w:sz w:val="21"/>
          <w:szCs w:val="21"/>
        </w:rPr>
      </w:pPr>
    </w:p>
    <w:p>
      <w:pPr>
        <w:jc w:val="both"/>
        <w:rPr>
          <w:sz w:val="21"/>
          <w:szCs w:val="21"/>
        </w:rPr>
      </w:pPr>
    </w:p>
    <w:p>
      <w:pPr>
        <w:jc w:val="both"/>
        <w:rPr>
          <w:sz w:val="21"/>
          <w:szCs w:val="21"/>
        </w:rPr>
      </w:pPr>
    </w:p>
    <w:p>
      <w:pPr>
        <w:jc w:val="both"/>
        <w:rPr>
          <w:sz w:val="21"/>
          <w:szCs w:val="21"/>
        </w:rPr>
      </w:pPr>
    </w:p>
    <w:p>
      <w:pPr>
        <w:jc w:val="both"/>
        <w:rPr>
          <w:sz w:val="21"/>
          <w:szCs w:val="21"/>
        </w:rPr>
      </w:pPr>
    </w:p>
    <w:p>
      <w:pPr>
        <w:jc w:val="both"/>
        <w:rPr>
          <w:sz w:val="21"/>
          <w:szCs w:val="21"/>
        </w:rPr>
      </w:pPr>
    </w:p>
    <w:p>
      <w:pPr>
        <w:jc w:val="both"/>
        <w:rPr>
          <w:sz w:val="21"/>
          <w:szCs w:val="21"/>
        </w:rPr>
      </w:pPr>
    </w:p>
    <w:p>
      <w:pPr>
        <w:jc w:val="both"/>
        <w:rPr>
          <w:sz w:val="21"/>
          <w:szCs w:val="21"/>
        </w:rPr>
      </w:pPr>
    </w:p>
    <w:p>
      <w:pPr>
        <w:jc w:val="both"/>
        <w:rPr>
          <w:sz w:val="21"/>
          <w:szCs w:val="21"/>
        </w:rPr>
      </w:pPr>
    </w:p>
    <w:p>
      <w:pPr>
        <w:jc w:val="both"/>
        <w:rPr>
          <w:sz w:val="21"/>
          <w:szCs w:val="21"/>
        </w:rPr>
      </w:pPr>
    </w:p>
    <w:p>
      <w:pPr>
        <w:jc w:val="both"/>
        <w:rPr>
          <w:sz w:val="21"/>
          <w:szCs w:val="21"/>
        </w:rPr>
      </w:pPr>
    </w:p>
    <w:p>
      <w:pPr>
        <w:jc w:val="both"/>
        <w:rPr>
          <w:sz w:val="21"/>
          <w:szCs w:val="21"/>
        </w:rPr>
      </w:pPr>
    </w:p>
    <w:p>
      <w:pPr>
        <w:jc w:val="both"/>
        <w:rPr>
          <w:sz w:val="21"/>
          <w:szCs w:val="21"/>
        </w:rPr>
      </w:pPr>
    </w:p>
    <w:p>
      <w:pPr>
        <w:jc w:val="both"/>
        <w:rPr>
          <w:sz w:val="21"/>
          <w:szCs w:val="21"/>
        </w:rPr>
      </w:pPr>
    </w:p>
    <w:p>
      <w:pPr>
        <w:jc w:val="both"/>
        <w:rPr>
          <w:sz w:val="21"/>
          <w:szCs w:val="21"/>
        </w:rPr>
      </w:pPr>
    </w:p>
    <w:p>
      <w:pPr>
        <w:jc w:val="both"/>
        <w:rPr>
          <w:sz w:val="21"/>
          <w:szCs w:val="21"/>
        </w:rPr>
      </w:pPr>
    </w:p>
    <w:p>
      <w:pPr>
        <w:jc w:val="both"/>
        <w:rPr>
          <w:sz w:val="21"/>
          <w:szCs w:val="21"/>
        </w:rPr>
      </w:pPr>
    </w:p>
    <w:p>
      <w:pPr>
        <w:jc w:val="both"/>
        <w:rPr>
          <w:sz w:val="21"/>
          <w:szCs w:val="21"/>
        </w:rPr>
      </w:pPr>
    </w:p>
    <w:p>
      <w:pPr>
        <w:jc w:val="both"/>
        <w:rPr>
          <w:sz w:val="21"/>
          <w:szCs w:val="21"/>
        </w:rPr>
      </w:pPr>
    </w:p>
    <w:sectPr>
      <w:pgSz w:w="11906" w:h="16838"/>
      <w:pgMar w:top="1474" w:right="1417" w:bottom="1587" w:left="141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619"/>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tabs>
        <w:tab w:val="left" w:pos="619"/>
        <w:tab w:val="clear" w:pos="4153"/>
      </w:tabs>
    </w:pPr>
    <w:r>
      <w:rPr>
        <w:sz w:val="1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g3YjNhZmYzZjYxN2NkMTY5Y2E3NDY1N2FkOTczNDIifQ=="/>
  </w:docVars>
  <w:rsids>
    <w:rsidRoot w:val="2D70510D"/>
    <w:rsid w:val="02532161"/>
    <w:rsid w:val="04E2157A"/>
    <w:rsid w:val="07AA45D1"/>
    <w:rsid w:val="091C19B1"/>
    <w:rsid w:val="0D023311"/>
    <w:rsid w:val="0FAB130E"/>
    <w:rsid w:val="10615A49"/>
    <w:rsid w:val="145A112D"/>
    <w:rsid w:val="159A3C5F"/>
    <w:rsid w:val="16442529"/>
    <w:rsid w:val="19240994"/>
    <w:rsid w:val="1D1327C1"/>
    <w:rsid w:val="240115C5"/>
    <w:rsid w:val="25A73939"/>
    <w:rsid w:val="26393298"/>
    <w:rsid w:val="26793695"/>
    <w:rsid w:val="291D5DF3"/>
    <w:rsid w:val="2D70510D"/>
    <w:rsid w:val="2F38480F"/>
    <w:rsid w:val="311E37B6"/>
    <w:rsid w:val="3B253993"/>
    <w:rsid w:val="3DC70D32"/>
    <w:rsid w:val="3F2C6E50"/>
    <w:rsid w:val="3F4D48F0"/>
    <w:rsid w:val="3FB46C71"/>
    <w:rsid w:val="3FBA2B05"/>
    <w:rsid w:val="40EC0DC7"/>
    <w:rsid w:val="4278084D"/>
    <w:rsid w:val="42C43A92"/>
    <w:rsid w:val="42D96B95"/>
    <w:rsid w:val="466C2476"/>
    <w:rsid w:val="4AF336AE"/>
    <w:rsid w:val="4EC579D4"/>
    <w:rsid w:val="4F1A6DAA"/>
    <w:rsid w:val="50AF2EF3"/>
    <w:rsid w:val="525C5A95"/>
    <w:rsid w:val="53603363"/>
    <w:rsid w:val="5426635A"/>
    <w:rsid w:val="579040FA"/>
    <w:rsid w:val="590F6696"/>
    <w:rsid w:val="5C533A65"/>
    <w:rsid w:val="5DEA21A7"/>
    <w:rsid w:val="60343A63"/>
    <w:rsid w:val="64F32289"/>
    <w:rsid w:val="652C579B"/>
    <w:rsid w:val="668C4743"/>
    <w:rsid w:val="685C1EF3"/>
    <w:rsid w:val="689C1FB5"/>
    <w:rsid w:val="6E731D44"/>
    <w:rsid w:val="723172E7"/>
    <w:rsid w:val="726D362B"/>
    <w:rsid w:val="74652FB5"/>
    <w:rsid w:val="74B87FFC"/>
    <w:rsid w:val="74BD26D9"/>
    <w:rsid w:val="752A3188"/>
    <w:rsid w:val="75774810"/>
    <w:rsid w:val="7A6D4434"/>
    <w:rsid w:val="7D537911"/>
    <w:rsid w:val="7DE247F1"/>
    <w:rsid w:val="7E22109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font21"/>
    <w:basedOn w:val="6"/>
    <w:autoRedefine/>
    <w:qFormat/>
    <w:uiPriority w:val="0"/>
    <w:rPr>
      <w:rFonts w:hint="eastAsia" w:ascii="宋体" w:hAnsi="宋体" w:eastAsia="宋体" w:cs="宋体"/>
      <w:b/>
      <w:color w:val="000000"/>
      <w:sz w:val="24"/>
      <w:szCs w:val="24"/>
      <w:u w:val="none"/>
    </w:rPr>
  </w:style>
  <w:style w:type="character" w:customStyle="1" w:styleId="8">
    <w:name w:val="font11"/>
    <w:basedOn w:val="6"/>
    <w:autoRedefine/>
    <w:qFormat/>
    <w:uiPriority w:val="0"/>
    <w:rPr>
      <w:rFonts w:hint="eastAsia" w:ascii="宋体" w:hAnsi="宋体" w:eastAsia="宋体" w:cs="宋体"/>
      <w:b/>
      <w:color w:val="000000"/>
      <w:sz w:val="21"/>
      <w:szCs w:val="21"/>
      <w:u w:val="none"/>
    </w:rPr>
  </w:style>
  <w:style w:type="character" w:customStyle="1" w:styleId="9">
    <w:name w:val="font71"/>
    <w:basedOn w:val="6"/>
    <w:autoRedefine/>
    <w:qFormat/>
    <w:uiPriority w:val="0"/>
    <w:rPr>
      <w:rFonts w:ascii="仿宋" w:hAnsi="仿宋" w:eastAsia="仿宋" w:cs="仿宋"/>
      <w:color w:val="000000"/>
      <w:sz w:val="20"/>
      <w:szCs w:val="20"/>
      <w:u w:val="none"/>
    </w:rPr>
  </w:style>
  <w:style w:type="character" w:customStyle="1" w:styleId="10">
    <w:name w:val="font51"/>
    <w:basedOn w:val="6"/>
    <w:autoRedefine/>
    <w:qFormat/>
    <w:uiPriority w:val="0"/>
    <w:rPr>
      <w:rFonts w:hint="eastAsia" w:ascii="宋体" w:hAnsi="宋体" w:eastAsia="宋体" w:cs="宋体"/>
      <w:color w:val="000000"/>
      <w:sz w:val="20"/>
      <w:szCs w:val="20"/>
      <w:u w:val="none"/>
    </w:rPr>
  </w:style>
  <w:style w:type="character" w:customStyle="1" w:styleId="11">
    <w:name w:val="font01"/>
    <w:basedOn w:val="6"/>
    <w:autoRedefine/>
    <w:qFormat/>
    <w:uiPriority w:val="0"/>
    <w:rPr>
      <w:rFonts w:ascii="仿宋" w:hAnsi="仿宋" w:eastAsia="仿宋" w:cs="仿宋"/>
      <w:color w:val="000000"/>
      <w:sz w:val="20"/>
      <w:szCs w:val="20"/>
      <w:u w:val="none"/>
    </w:rPr>
  </w:style>
  <w:style w:type="character" w:customStyle="1" w:styleId="12">
    <w:name w:val="font61"/>
    <w:basedOn w:val="6"/>
    <w:autoRedefine/>
    <w:qFormat/>
    <w:uiPriority w:val="0"/>
    <w:rPr>
      <w:rFonts w:hint="eastAsia" w:ascii="仿宋" w:hAnsi="仿宋" w:eastAsia="仿宋" w:cs="仿宋"/>
      <w:color w:val="000000"/>
      <w:sz w:val="20"/>
      <w:szCs w:val="20"/>
      <w:u w:val="none"/>
    </w:rPr>
  </w:style>
  <w:style w:type="character" w:customStyle="1" w:styleId="13">
    <w:name w:val="font41"/>
    <w:basedOn w:val="6"/>
    <w:autoRedefine/>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6917</Words>
  <Characters>7060</Characters>
  <Lines>0</Lines>
  <Paragraphs>0</Paragraphs>
  <TotalTime>287</TotalTime>
  <ScaleCrop>false</ScaleCrop>
  <LinksUpToDate>false</LinksUpToDate>
  <CharactersWithSpaces>7250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2023-03-27T00:31:00Z</dcterms:created>
  <dc:creator>win7</dc:creator>
  <cp:lastModifiedBy>Administrator</cp:lastModifiedBy>
  <cp:lastPrinted>2024-04-26T03:13:00Z</cp:lastPrinted>
  <dcterms:modified xsi:type="dcterms:W3CDTF">2024-10-24T02:29:00Z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A97D1EA86C314CB492E864D59B4D03E9_13</vt:lpwstr>
  </property>
</Properties>
</file>