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pPr>
    </w:p>
    <w:p>
      <w:pPr>
        <w:widowControl w:val="0"/>
      </w:pPr>
    </w:p>
    <w:p>
      <w:pPr>
        <w:widowControl w:val="0"/>
      </w:pPr>
    </w:p>
    <w:p>
      <w:pPr>
        <w:widowControl w:val="0"/>
        <w:jc w:val="center"/>
      </w:pPr>
    </w:p>
    <w:p>
      <w:pPr>
        <w:widowControl w:val="0"/>
        <w:jc w:val="center"/>
      </w:pPr>
      <w:r>
        <w:rPr>
          <w:rFonts w:hint="eastAsia"/>
        </w:rPr>
        <w:t>永洪委〔2</w:t>
      </w:r>
      <w:r>
        <w:t>024</w:t>
      </w:r>
      <w:r>
        <w:rPr>
          <w:rFonts w:hint="eastAsia"/>
        </w:rPr>
        <w:t>〕</w:t>
      </w:r>
      <w:r>
        <w:rPr>
          <w:rFonts w:hint="eastAsia"/>
          <w:lang w:val="en-US" w:eastAsia="zh-CN"/>
        </w:rPr>
        <w:t>64</w:t>
      </w:r>
      <w:r>
        <w:rPr>
          <w:rFonts w:hint="eastAsia"/>
        </w:rPr>
        <w:t>号</w:t>
      </w:r>
    </w:p>
    <w:p>
      <w:pPr>
        <w:widowControl w:val="0"/>
      </w:pPr>
    </w:p>
    <w:p>
      <w:pPr>
        <w:widowControl w:val="0"/>
      </w:pPr>
    </w:p>
    <w:p>
      <w:pPr>
        <w:widowControl w:val="0"/>
        <w:jc w:val="center"/>
        <w:rPr>
          <w:rFonts w:ascii="方正小标宋简体" w:eastAsia="方正小标宋简体"/>
          <w:b/>
          <w:bCs/>
          <w:sz w:val="44"/>
          <w:szCs w:val="44"/>
        </w:rPr>
      </w:pPr>
      <w:r>
        <w:rPr>
          <w:rFonts w:hint="eastAsia" w:ascii="方正小标宋简体" w:eastAsia="方正小标宋简体"/>
          <w:b/>
          <w:bCs/>
          <w:sz w:val="44"/>
          <w:szCs w:val="44"/>
        </w:rPr>
        <w:t>洪山镇202</w:t>
      </w:r>
      <w:r>
        <w:rPr>
          <w:rFonts w:ascii="方正小标宋简体" w:eastAsia="方正小标宋简体"/>
          <w:b/>
          <w:bCs/>
          <w:sz w:val="44"/>
          <w:szCs w:val="44"/>
        </w:rPr>
        <w:t>4</w:t>
      </w:r>
      <w:r>
        <w:rPr>
          <w:rFonts w:hint="eastAsia" w:ascii="方正小标宋简体" w:eastAsia="方正小标宋简体"/>
          <w:b/>
          <w:bCs/>
          <w:sz w:val="44"/>
          <w:szCs w:val="44"/>
        </w:rPr>
        <w:t>年度法治政府建设情况报告</w:t>
      </w:r>
    </w:p>
    <w:p>
      <w:pPr>
        <w:widowControl w:val="0"/>
        <w:rPr>
          <w:szCs w:val="32"/>
        </w:rPr>
      </w:pPr>
    </w:p>
    <w:p>
      <w:pPr>
        <w:widowControl w:val="0"/>
        <w:rPr>
          <w:szCs w:val="32"/>
        </w:rPr>
      </w:pPr>
      <w:r>
        <w:rPr>
          <w:rFonts w:hint="eastAsia"/>
          <w:szCs w:val="32"/>
        </w:rPr>
        <w:t>永定区委、区政府：</w:t>
      </w:r>
    </w:p>
    <w:p>
      <w:pPr>
        <w:widowControl w:val="0"/>
        <w:ind w:firstLine="632" w:firstLineChars="200"/>
        <w:rPr>
          <w:szCs w:val="32"/>
        </w:rPr>
      </w:pPr>
      <w:r>
        <w:rPr>
          <w:rFonts w:hint="eastAsia"/>
          <w:szCs w:val="32"/>
        </w:rPr>
        <w:t>2024年以来，在区委、区政府的正确领导下，洪山镇坚持以习近平</w:t>
      </w:r>
      <w:r>
        <w:rPr>
          <w:rFonts w:hint="eastAsia"/>
          <w:szCs w:val="32"/>
          <w:lang w:eastAsia="zh-CN"/>
        </w:rPr>
        <w:t>新时代</w:t>
      </w:r>
      <w:bookmarkStart w:id="0" w:name="_GoBack"/>
      <w:bookmarkEnd w:id="0"/>
      <w:r>
        <w:rPr>
          <w:rFonts w:hint="eastAsia"/>
          <w:szCs w:val="32"/>
        </w:rPr>
        <w:t>中国特色社会主义思想为指导，深入学习贯彻党的二十大和二十届二中、三中全会精神，全面贯彻落实习近平法治思想，认真落实省、市、区关于法治政府建设工作部署以及《龙岩市永定区法治政府建设实施方案（2021-2025年）》，紧紧围绕法治政府建设目标任务，扎实推进依法行政各项工作，不断提高政府治理体系和治理能力现代化水平，为我镇经济社会发展创造了较为良好的法治环境。现将有关情况报告如下：</w:t>
      </w:r>
    </w:p>
    <w:p>
      <w:pPr>
        <w:widowControl w:val="0"/>
        <w:ind w:firstLine="632" w:firstLineChars="200"/>
        <w:rPr>
          <w:rFonts w:hint="eastAsia" w:ascii="黑体" w:hAnsi="黑体" w:eastAsia="黑体"/>
          <w:b/>
          <w:bCs/>
          <w:szCs w:val="32"/>
        </w:rPr>
      </w:pPr>
      <w:r>
        <w:rPr>
          <w:rFonts w:hint="eastAsia" w:ascii="黑体" w:hAnsi="黑体" w:eastAsia="黑体"/>
          <w:b/>
          <w:bCs/>
          <w:szCs w:val="32"/>
        </w:rPr>
        <w:t>一、2024年度法治政府建设推进情况</w:t>
      </w:r>
    </w:p>
    <w:p>
      <w:pPr>
        <w:widowControl w:val="0"/>
        <w:ind w:firstLine="632" w:firstLineChars="200"/>
        <w:rPr>
          <w:rFonts w:hint="eastAsia" w:ascii="楷体_GB2312" w:eastAsia="楷体_GB2312"/>
          <w:b/>
          <w:bCs/>
          <w:szCs w:val="32"/>
        </w:rPr>
      </w:pPr>
      <w:r>
        <w:rPr>
          <w:rFonts w:hint="eastAsia" w:ascii="楷体_GB2312" w:eastAsia="楷体_GB2312"/>
          <w:b/>
          <w:bCs/>
          <w:szCs w:val="32"/>
        </w:rPr>
        <w:t>（一）加强组织领导，完善工作机制</w:t>
      </w:r>
    </w:p>
    <w:p>
      <w:pPr>
        <w:widowControl w:val="0"/>
        <w:ind w:firstLine="632" w:firstLineChars="200"/>
        <w:rPr>
          <w:rFonts w:hint="eastAsia"/>
          <w:szCs w:val="32"/>
        </w:rPr>
      </w:pPr>
      <w:r>
        <w:rPr>
          <w:rFonts w:hint="eastAsia"/>
          <w:b/>
          <w:bCs/>
          <w:szCs w:val="32"/>
        </w:rPr>
        <w:t>1.强化组织保障。</w:t>
      </w:r>
      <w:r>
        <w:rPr>
          <w:rFonts w:hint="eastAsia"/>
          <w:szCs w:val="32"/>
        </w:rPr>
        <w:t>结合工作实际，及时更新调整法治政府建设领导小组和工作专班，明确工作职责，切实形成主要领导亲自抓、分管领导具体抓、相关部门配合抓的工作格局。定期召开专题会议，研究部署法治政府建设工作，及时解决工作中存在的问题，研究制定2024年度法治政府建设工作重点，明确工作目标任务和措施，把法治政府建设与经济社会发展同部署、同推进、同考核。</w:t>
      </w:r>
    </w:p>
    <w:p>
      <w:pPr>
        <w:widowControl w:val="0"/>
        <w:ind w:firstLine="632" w:firstLineChars="200"/>
        <w:rPr>
          <w:rFonts w:hint="eastAsia"/>
          <w:szCs w:val="32"/>
        </w:rPr>
      </w:pPr>
      <w:r>
        <w:rPr>
          <w:rFonts w:hint="eastAsia"/>
          <w:b/>
          <w:bCs/>
          <w:szCs w:val="32"/>
        </w:rPr>
        <w:t>2.完善工作机制。</w:t>
      </w:r>
      <w:r>
        <w:rPr>
          <w:rFonts w:hint="eastAsia"/>
          <w:szCs w:val="32"/>
        </w:rPr>
        <w:t>坚持重大决策合法性审查机制，全面落实重大行政决策公众参与、专家论证、风险评估、合法性审查程序。严格落实政府法律顾问制度，长期聘用法律顾问1名，将重大行政决策、规范性文件、重大涉法涉诉事项、合同协议等纳入审核范围，做到应审尽审。同时对本级人大代表关于行政规范性文件的建议、提案回复率达到100%，切实提升重大决策的公众参与度。</w:t>
      </w:r>
    </w:p>
    <w:p>
      <w:pPr>
        <w:widowControl w:val="0"/>
        <w:ind w:firstLine="632" w:firstLineChars="200"/>
        <w:rPr>
          <w:rFonts w:hint="eastAsia" w:ascii="楷体_GB2312" w:eastAsia="楷体_GB2312"/>
          <w:b/>
          <w:bCs/>
          <w:szCs w:val="32"/>
        </w:rPr>
      </w:pPr>
      <w:r>
        <w:rPr>
          <w:rFonts w:hint="eastAsia" w:ascii="楷体_GB2312" w:eastAsia="楷体_GB2312"/>
          <w:b/>
          <w:bCs/>
          <w:szCs w:val="32"/>
        </w:rPr>
        <w:t>（二）规范行政行为，提升执法质量</w:t>
      </w:r>
    </w:p>
    <w:p>
      <w:pPr>
        <w:widowControl w:val="0"/>
        <w:ind w:firstLine="632" w:firstLineChars="200"/>
        <w:rPr>
          <w:rFonts w:hint="eastAsia"/>
          <w:szCs w:val="32"/>
        </w:rPr>
      </w:pPr>
      <w:r>
        <w:rPr>
          <w:rFonts w:hint="eastAsia"/>
          <w:b/>
          <w:bCs/>
          <w:szCs w:val="32"/>
        </w:rPr>
        <w:t>1.认真做好政务信息公开工作。</w:t>
      </w:r>
      <w:r>
        <w:rPr>
          <w:rFonts w:hint="eastAsia"/>
          <w:szCs w:val="32"/>
        </w:rPr>
        <w:t>切实履行政府信息主动公开职责，确定专人负责政务公开工作，通过政府门户网站、政务公开栏等方式，及时、主动更新政府信息，重点推进决策执行以及财政预算、重大项目建设、社会公益事业等人民群众普遍关注事项的信息公开。严格执行规范性文件制定程序，加强规范性文件合法性审查，确保规范性文件内容合法、程序规范。</w:t>
      </w:r>
    </w:p>
    <w:p>
      <w:pPr>
        <w:widowControl w:val="0"/>
        <w:ind w:firstLine="632" w:firstLineChars="200"/>
        <w:rPr>
          <w:szCs w:val="32"/>
        </w:rPr>
      </w:pPr>
      <w:r>
        <w:rPr>
          <w:rFonts w:hint="eastAsia"/>
          <w:b/>
          <w:bCs/>
          <w:szCs w:val="32"/>
        </w:rPr>
        <w:t>2.推进严格规范公正文明执法。</w:t>
      </w:r>
      <w:r>
        <w:rPr>
          <w:rFonts w:hint="eastAsia"/>
          <w:szCs w:val="32"/>
        </w:rPr>
        <w:t>深入推进“综合查一次”制度，落实属地责任，配合有关部门“进一次门、查多项事、一次到位”，做好日常监管工作，切实做到执法不扰企、监管不缺位，持续优化提升营商环境。扎实推进片区联合执法改革。明确3名综合执法大队领导干部为片区执法配合人员，全力配合片区联合执法行动，积极参与业务培训，持续提高执法人员能力素质和业务本领，提升执法工作成效。严格参照《基层综合行政执法文书参考格式》《福建省乡镇（街道）综合行政执法编号规则》等文件要求，进一步规范行政执法文书制作。</w:t>
      </w:r>
    </w:p>
    <w:p>
      <w:pPr>
        <w:widowControl w:val="0"/>
        <w:ind w:firstLine="632" w:firstLineChars="200"/>
        <w:rPr>
          <w:rFonts w:hint="eastAsia"/>
          <w:szCs w:val="32"/>
        </w:rPr>
      </w:pPr>
      <w:r>
        <w:rPr>
          <w:rFonts w:hint="eastAsia"/>
          <w:b/>
          <w:bCs/>
          <w:szCs w:val="32"/>
        </w:rPr>
        <w:t>3.</w:t>
      </w:r>
      <w:r>
        <w:rPr>
          <w:rFonts w:hint="eastAsia"/>
          <w:b/>
          <w:bCs/>
        </w:rPr>
        <w:t>严格落实行政执法“三项制度”。</w:t>
      </w:r>
      <w:r>
        <w:rPr>
          <w:rFonts w:hint="eastAsia"/>
          <w:szCs w:val="32"/>
        </w:rPr>
        <w:t>全面贯彻落实《国务院办公厅关于全面推行行政执法公示制度执法全过程记录制度重大执法决定法制审核制度的指导意见》，健全镇行政执法公示制度，按照“谁执法、谁公示”的要求，明确执法主体、执法程序、执法事项，厘清监管事权，充分借助信息化手段，通过办事大厅、服务窗口等载体，加强事前公开，规范事中公示，推动事后公开，依法及时主动向社会公开有关行政执法信息，接受社会监督。</w:t>
      </w:r>
    </w:p>
    <w:p>
      <w:pPr>
        <w:widowControl w:val="0"/>
        <w:ind w:firstLine="632" w:firstLineChars="200"/>
        <w:rPr>
          <w:rFonts w:hint="eastAsia" w:ascii="楷体_GB2312" w:eastAsia="楷体_GB2312"/>
          <w:b/>
          <w:bCs/>
          <w:szCs w:val="32"/>
        </w:rPr>
      </w:pPr>
      <w:r>
        <w:rPr>
          <w:rFonts w:hint="eastAsia" w:ascii="楷体_GB2312" w:eastAsia="楷体_GB2312"/>
          <w:b/>
          <w:bCs/>
          <w:szCs w:val="32"/>
        </w:rPr>
        <w:t>（三）加强社会治理，维护社会稳定</w:t>
      </w:r>
    </w:p>
    <w:p>
      <w:pPr>
        <w:widowControl w:val="0"/>
        <w:ind w:firstLine="632" w:firstLineChars="200"/>
        <w:rPr>
          <w:rFonts w:hint="eastAsia"/>
          <w:szCs w:val="32"/>
          <w:highlight w:val="none"/>
        </w:rPr>
      </w:pPr>
      <w:r>
        <w:rPr>
          <w:rFonts w:hint="eastAsia"/>
          <w:b/>
          <w:bCs/>
          <w:szCs w:val="32"/>
        </w:rPr>
        <w:t>1.加强矛盾纠纷排查化解。</w:t>
      </w:r>
      <w:r>
        <w:rPr>
          <w:rFonts w:hint="eastAsia"/>
          <w:szCs w:val="32"/>
        </w:rPr>
        <w:t>坚持和发展新时代“枫桥经验”，牢固树立“发展是第一要务，稳定是第一责任”思想，按照“依法调解、规范程序、灵活高效”的原则，坚持每周召开镇矛盾纠纷风险隐患排查化解工作例会，分析研判、安排部署、推进、调度重点人员管控、风险隐患、矛盾纠纷排查化解等工作，加强矛盾纠纷排查及源头防治，</w:t>
      </w:r>
      <w:r>
        <w:rPr>
          <w:rFonts w:hint="eastAsia"/>
          <w:highlight w:val="none"/>
          <w:lang w:val="en-US" w:eastAsia="zh-CN"/>
        </w:rPr>
        <w:t>截至2024年11月8日，共排查群众矛盾纠纷约151件，调解成功162件，</w:t>
      </w:r>
      <w:r>
        <w:rPr>
          <w:rFonts w:hint="eastAsia"/>
          <w:szCs w:val="32"/>
          <w:highlight w:val="none"/>
        </w:rPr>
        <w:t>最大限度地把问题化解在萌芽状态。</w:t>
      </w:r>
    </w:p>
    <w:p>
      <w:pPr>
        <w:widowControl w:val="0"/>
        <w:ind w:firstLine="632" w:firstLineChars="200"/>
        <w:rPr>
          <w:rFonts w:hint="eastAsia"/>
          <w:szCs w:val="32"/>
        </w:rPr>
      </w:pPr>
      <w:r>
        <w:rPr>
          <w:rFonts w:hint="eastAsia"/>
          <w:b/>
          <w:bCs/>
          <w:szCs w:val="32"/>
        </w:rPr>
        <w:t>2.加强社会治安综合治理。</w:t>
      </w:r>
      <w:r>
        <w:rPr>
          <w:rFonts w:hint="eastAsia"/>
          <w:szCs w:val="32"/>
        </w:rPr>
        <w:t>按照“村到片、片到组、组到户”的原则，将9个村划分为12个单页网格，细分为68个“微网格”，配备专职网格员12名、微网格协管员71名，建立网格微信群51个，不断细化网格职责，真正做到责任到人。组织相关部门建立社会治安和社会稳定情况信息分析月例会制度，及时掌握辖区存在的涉稳风险点，积极预防和处置群体性事件。加强公安、司法、卫健、民政、劳保等部门协作联动，切实做好重点人员的教育、管理、安置、帮扶工作，引导回归社会，确保不出现戒毒人员复吸，社区矫正、取保候审、信访维稳重点人员、易肇事肇祸精神障碍患者违法犯罪。</w:t>
      </w:r>
    </w:p>
    <w:p>
      <w:pPr>
        <w:widowControl w:val="0"/>
        <w:ind w:firstLine="632" w:firstLineChars="200"/>
        <w:rPr>
          <w:rFonts w:hint="eastAsia"/>
          <w:szCs w:val="32"/>
        </w:rPr>
      </w:pPr>
      <w:r>
        <w:rPr>
          <w:rFonts w:hint="eastAsia"/>
          <w:b/>
          <w:bCs/>
          <w:szCs w:val="32"/>
        </w:rPr>
        <w:t>3.加强公共法律服务体系建设。</w:t>
      </w:r>
      <w:r>
        <w:rPr>
          <w:rFonts w:hint="eastAsia"/>
          <w:szCs w:val="32"/>
        </w:rPr>
        <w:t>建立健全公共法律服务体系，实施乡村“法律明白人”“法治带头人”培养工程机制。发挥“法律明白人”“法治带头人”在宣传政策法规、引导法律服务、化解矛盾纠纷、参与社会治理中的中枢作用，服务保障乡村振兴战略。完善镇公共法律服务工作站和各村公共法律服务工作室建设，为群众提供更为便捷、高效的法律服务。</w:t>
      </w:r>
    </w:p>
    <w:p>
      <w:pPr>
        <w:widowControl w:val="0"/>
        <w:ind w:firstLine="632" w:firstLineChars="200"/>
        <w:rPr>
          <w:rFonts w:hint="eastAsia" w:ascii="楷体_GB2312" w:eastAsia="楷体_GB2312"/>
          <w:b/>
          <w:bCs/>
          <w:szCs w:val="32"/>
        </w:rPr>
      </w:pPr>
      <w:r>
        <w:rPr>
          <w:rFonts w:hint="eastAsia" w:ascii="楷体_GB2312" w:eastAsia="楷体_GB2312"/>
          <w:b/>
          <w:bCs/>
          <w:szCs w:val="32"/>
        </w:rPr>
        <w:t>（四）加强法治教育，营造良好氛围</w:t>
      </w:r>
    </w:p>
    <w:p>
      <w:pPr>
        <w:widowControl w:val="0"/>
        <w:ind w:firstLine="632" w:firstLineChars="200"/>
        <w:rPr>
          <w:rFonts w:hint="eastAsia"/>
          <w:szCs w:val="32"/>
        </w:rPr>
      </w:pPr>
      <w:r>
        <w:rPr>
          <w:rFonts w:hint="eastAsia"/>
          <w:b/>
          <w:bCs/>
          <w:szCs w:val="32"/>
        </w:rPr>
        <w:t>1.落实领导干部学法制度。</w:t>
      </w:r>
      <w:r>
        <w:rPr>
          <w:rFonts w:hint="eastAsia"/>
          <w:szCs w:val="32"/>
        </w:rPr>
        <w:t>定期组织领导干部学习法律法规，把法治建设相关内容纳入党委理论学习中心组学习内容，充分利用党委会（扩大）会议、干部集中学习、主题党日等形式，对《宪法》《民法典》《行政处罚法》《行政</w:t>
      </w:r>
      <w:r>
        <w:rPr>
          <w:rFonts w:hint="eastAsia"/>
          <w:szCs w:val="32"/>
          <w:lang w:val="en-US" w:eastAsia="zh-CN"/>
        </w:rPr>
        <w:t>强制</w:t>
      </w:r>
      <w:r>
        <w:rPr>
          <w:rFonts w:hint="eastAsia"/>
          <w:szCs w:val="32"/>
        </w:rPr>
        <w:t>法》等行政执法方面的法律法规和政策规定进行常规性学习，不断提高领导干部的法治思维和依法办事的能力。</w:t>
      </w:r>
    </w:p>
    <w:p>
      <w:pPr>
        <w:widowControl w:val="0"/>
        <w:ind w:firstLine="632" w:firstLineChars="200"/>
        <w:rPr>
          <w:rFonts w:hint="eastAsia"/>
          <w:szCs w:val="32"/>
        </w:rPr>
      </w:pPr>
      <w:r>
        <w:rPr>
          <w:rFonts w:hint="eastAsia"/>
          <w:b/>
          <w:bCs/>
          <w:szCs w:val="32"/>
        </w:rPr>
        <w:t>2.开展法治宣传教育活动。</w:t>
      </w:r>
      <w:r>
        <w:rPr>
          <w:rFonts w:hint="eastAsia"/>
          <w:szCs w:val="32"/>
        </w:rPr>
        <w:t>积极落实“八五”普法规划，结合“国家宪法日”“民法典宣传月”等重要时间节点，常态化开展平安建设、法治、禁毒</w:t>
      </w:r>
      <w:r>
        <w:rPr>
          <w:rFonts w:hint="eastAsia"/>
          <w:szCs w:val="32"/>
          <w:lang w:eastAsia="zh-CN"/>
        </w:rPr>
        <w:t>、</w:t>
      </w:r>
      <w:r>
        <w:rPr>
          <w:rFonts w:hint="eastAsia"/>
          <w:szCs w:val="32"/>
        </w:rPr>
        <w:t>反诈</w:t>
      </w:r>
      <w:r>
        <w:rPr>
          <w:rFonts w:hint="eastAsia"/>
          <w:szCs w:val="32"/>
          <w:lang w:eastAsia="zh-CN"/>
        </w:rPr>
        <w:t>、</w:t>
      </w:r>
      <w:r>
        <w:rPr>
          <w:rFonts w:hint="eastAsia"/>
          <w:szCs w:val="32"/>
        </w:rPr>
        <w:t>“法律七进”等形式多样的法治宣传教育活动，提高广大群众的法治意识和法律素质。今年以来，共开展宣传19场次，宣传人次2000余人，印制发放宣传材料1000余份，切实营造“平安建设、人人参与”的良好氛围。</w:t>
      </w:r>
    </w:p>
    <w:p>
      <w:pPr>
        <w:widowControl w:val="0"/>
        <w:ind w:firstLine="632" w:firstLineChars="200"/>
        <w:rPr>
          <w:rFonts w:hint="eastAsia"/>
          <w:szCs w:val="32"/>
        </w:rPr>
      </w:pPr>
      <w:r>
        <w:rPr>
          <w:rFonts w:hint="eastAsia"/>
          <w:b/>
          <w:bCs/>
          <w:szCs w:val="32"/>
        </w:rPr>
        <w:t>3.加强法治文化建设。</w:t>
      </w:r>
      <w:r>
        <w:rPr>
          <w:rFonts w:hint="eastAsia"/>
          <w:szCs w:val="32"/>
        </w:rPr>
        <w:t>积极推进法治文化阵地建设，在镇政府、村委会、学校、企业等场所设置法治宣传栏、法治文化公园、法治文化长廊等，营造浓厚的法治文化氛围。</w:t>
      </w:r>
    </w:p>
    <w:p>
      <w:pPr>
        <w:widowControl w:val="0"/>
        <w:ind w:firstLine="632" w:firstLineChars="200"/>
        <w:rPr>
          <w:rFonts w:hint="eastAsia" w:ascii="黑体" w:hAnsi="黑体" w:eastAsia="黑体"/>
          <w:b/>
          <w:bCs/>
          <w:szCs w:val="32"/>
        </w:rPr>
      </w:pPr>
      <w:r>
        <w:rPr>
          <w:rFonts w:hint="eastAsia" w:ascii="黑体" w:hAnsi="黑体" w:eastAsia="黑体"/>
          <w:b/>
          <w:bCs/>
          <w:szCs w:val="32"/>
        </w:rPr>
        <w:t>二、存在的问题</w:t>
      </w:r>
    </w:p>
    <w:p>
      <w:pPr>
        <w:widowControl w:val="0"/>
        <w:ind w:firstLine="632" w:firstLineChars="200"/>
        <w:rPr>
          <w:rFonts w:hint="default"/>
          <w:szCs w:val="32"/>
          <w:lang w:val="en-US"/>
        </w:rPr>
      </w:pPr>
      <w:r>
        <w:rPr>
          <w:rFonts w:hint="eastAsia"/>
          <w:szCs w:val="32"/>
        </w:rPr>
        <w:t>我镇法治建设工作取得了一定的成绩，但我们也清醒地看到工作还存在着一些问题和不足，主要表现在：</w:t>
      </w:r>
      <w:r>
        <w:rPr>
          <w:rFonts w:hint="eastAsia"/>
          <w:b/>
          <w:bCs/>
          <w:szCs w:val="32"/>
        </w:rPr>
        <w:t>一是</w:t>
      </w:r>
      <w:r>
        <w:rPr>
          <w:rFonts w:hint="eastAsia"/>
          <w:b/>
          <w:bCs/>
          <w:szCs w:val="32"/>
          <w:lang w:val="en-US" w:eastAsia="zh-CN"/>
        </w:rPr>
        <w:t>机关干部学法用法还需持续深入强化。</w:t>
      </w:r>
      <w:r>
        <w:rPr>
          <w:rFonts w:hint="eastAsia"/>
          <w:szCs w:val="32"/>
          <w:lang w:val="en-US" w:eastAsia="zh-CN"/>
        </w:rPr>
        <w:t>大多数机关干部未受过专业的法律教育，自身法律综合素质和业务能力与法治工作规范化要求还存在一定差距。</w:t>
      </w:r>
      <w:r>
        <w:rPr>
          <w:rFonts w:hint="eastAsia"/>
          <w:b/>
          <w:bCs/>
          <w:szCs w:val="32"/>
        </w:rPr>
        <w:t>二是行政执法水平有待进一步提升。</w:t>
      </w:r>
      <w:r>
        <w:rPr>
          <w:rFonts w:hint="eastAsia"/>
          <w:szCs w:val="32"/>
          <w:lang w:val="en-US" w:eastAsia="zh-CN"/>
        </w:rPr>
        <w:t>执法人员</w:t>
      </w:r>
      <w:r>
        <w:rPr>
          <w:rFonts w:hint="eastAsia"/>
          <w:szCs w:val="32"/>
        </w:rPr>
        <w:t>经验不足，业务能力有待</w:t>
      </w:r>
      <w:r>
        <w:rPr>
          <w:rFonts w:hint="eastAsia"/>
          <w:szCs w:val="32"/>
          <w:lang w:val="en-US" w:eastAsia="zh-CN"/>
        </w:rPr>
        <w:t>提升</w:t>
      </w:r>
      <w:r>
        <w:rPr>
          <w:rFonts w:hint="eastAsia"/>
          <w:szCs w:val="32"/>
        </w:rPr>
        <w:t>。</w:t>
      </w:r>
      <w:r>
        <w:rPr>
          <w:rFonts w:hint="eastAsia"/>
          <w:szCs w:val="32"/>
          <w:lang w:val="en-US" w:eastAsia="zh-CN"/>
        </w:rPr>
        <w:t>执法设备配备不足，硬件条件还有待加强。行政执法事项多，基层执法能力与繁重的执法任务不匹配。</w:t>
      </w:r>
    </w:p>
    <w:p>
      <w:pPr>
        <w:widowControl w:val="0"/>
        <w:ind w:firstLine="632" w:firstLineChars="200"/>
        <w:rPr>
          <w:rFonts w:hint="eastAsia" w:ascii="黑体" w:hAnsi="黑体" w:eastAsia="黑体"/>
          <w:b/>
          <w:bCs/>
          <w:szCs w:val="32"/>
        </w:rPr>
      </w:pPr>
      <w:r>
        <w:rPr>
          <w:rFonts w:hint="eastAsia" w:ascii="黑体" w:hAnsi="黑体" w:eastAsia="黑体"/>
          <w:b/>
          <w:bCs/>
          <w:szCs w:val="32"/>
        </w:rPr>
        <w:t>三、2025年法治政府建设工作思路</w:t>
      </w:r>
    </w:p>
    <w:p>
      <w:pPr>
        <w:widowControl w:val="0"/>
        <w:ind w:firstLine="632" w:firstLineChars="200"/>
        <w:rPr>
          <w:rFonts w:hint="eastAsia"/>
          <w:szCs w:val="32"/>
        </w:rPr>
      </w:pPr>
      <w:r>
        <w:rPr>
          <w:rFonts w:hint="eastAsia"/>
          <w:szCs w:val="32"/>
        </w:rPr>
        <w:t>2025年，洪山镇将继续深入学习贯彻党的二十大精神，坚持以习近平新时代中国特色社会主义思想为指导，切实做好法治政府建设各项工作。</w:t>
      </w:r>
    </w:p>
    <w:p>
      <w:pPr>
        <w:widowControl w:val="0"/>
        <w:ind w:firstLine="632" w:firstLineChars="200"/>
        <w:rPr>
          <w:rFonts w:hint="eastAsia" w:ascii="楷体_GB2312" w:eastAsia="楷体_GB2312"/>
          <w:b/>
          <w:bCs/>
          <w:szCs w:val="32"/>
        </w:rPr>
      </w:pPr>
      <w:r>
        <w:rPr>
          <w:rFonts w:hint="eastAsia" w:ascii="楷体_GB2312" w:eastAsia="楷体_GB2312"/>
          <w:b/>
          <w:bCs/>
          <w:szCs w:val="32"/>
        </w:rPr>
        <w:t>（一）加强法治教育培训，提高干部意识能力</w:t>
      </w:r>
    </w:p>
    <w:p>
      <w:pPr>
        <w:widowControl w:val="0"/>
        <w:ind w:firstLine="632" w:firstLineChars="200"/>
        <w:rPr>
          <w:rFonts w:hint="default"/>
          <w:szCs w:val="32"/>
          <w:lang w:val="en-US"/>
        </w:rPr>
      </w:pPr>
      <w:r>
        <w:rPr>
          <w:rFonts w:hint="eastAsia"/>
          <w:b/>
          <w:bCs/>
          <w:szCs w:val="32"/>
          <w:lang w:val="en-US" w:eastAsia="zh-CN"/>
        </w:rPr>
        <w:t>一是强化领导干部带头学法。</w:t>
      </w:r>
      <w:r>
        <w:rPr>
          <w:rFonts w:hint="eastAsia"/>
          <w:szCs w:val="32"/>
          <w:lang w:val="en-US" w:eastAsia="zh-CN"/>
        </w:rPr>
        <w:t>充分发挥领导干部“关键少数”带头作用，党委理论学习中心组保持较高的学法频率。</w:t>
      </w:r>
      <w:r>
        <w:rPr>
          <w:rFonts w:hint="eastAsia"/>
          <w:b/>
          <w:bCs/>
          <w:szCs w:val="32"/>
          <w:lang w:val="en-US" w:eastAsia="zh-CN"/>
        </w:rPr>
        <w:t>二是深化全体干部职工集中学法。</w:t>
      </w:r>
      <w:r>
        <w:rPr>
          <w:rFonts w:hint="eastAsia"/>
          <w:szCs w:val="32"/>
          <w:lang w:val="en-US" w:eastAsia="zh-CN"/>
        </w:rPr>
        <w:t>组织全镇、各行政村干部，召开法治教育专题会议，集中学习各类法律规范和党内法规。持续深化干部学法实效，牢固树立办事依法、遇事找法、解决问题用法、化解矛盾靠法的理念。</w:t>
      </w:r>
      <w:r>
        <w:rPr>
          <w:rFonts w:hint="eastAsia"/>
          <w:b/>
          <w:bCs/>
          <w:szCs w:val="32"/>
          <w:lang w:val="en-US" w:eastAsia="zh-CN"/>
        </w:rPr>
        <w:t>三是细化执法人员深度学法。</w:t>
      </w:r>
      <w:r>
        <w:rPr>
          <w:rFonts w:hint="eastAsia"/>
          <w:szCs w:val="32"/>
          <w:lang w:val="en-US" w:eastAsia="zh-CN"/>
        </w:rPr>
        <w:t>组织全镇行政执法人员开展培训，除公共法律知识外，加强对行政执法实务技能的培训，切实提升行政执法人员业务能力。</w:t>
      </w:r>
    </w:p>
    <w:p>
      <w:pPr>
        <w:widowControl w:val="0"/>
        <w:ind w:firstLine="632" w:firstLineChars="200"/>
        <w:rPr>
          <w:rFonts w:hint="eastAsia" w:ascii="楷体_GB2312" w:eastAsia="楷体_GB2312"/>
          <w:b/>
          <w:bCs/>
          <w:szCs w:val="32"/>
        </w:rPr>
      </w:pPr>
      <w:r>
        <w:rPr>
          <w:rFonts w:hint="eastAsia" w:ascii="楷体_GB2312" w:eastAsia="楷体_GB2312"/>
          <w:b/>
          <w:bCs/>
          <w:szCs w:val="32"/>
        </w:rPr>
        <w:t>（</w:t>
      </w:r>
      <w:r>
        <w:rPr>
          <w:rFonts w:hint="eastAsia" w:ascii="楷体_GB2312" w:eastAsia="楷体_GB2312"/>
          <w:b/>
          <w:bCs/>
          <w:szCs w:val="32"/>
          <w:lang w:val="en-US" w:eastAsia="zh-CN"/>
        </w:rPr>
        <w:t>二</w:t>
      </w:r>
      <w:r>
        <w:rPr>
          <w:rFonts w:hint="eastAsia" w:ascii="楷体_GB2312" w:eastAsia="楷体_GB2312"/>
          <w:b/>
          <w:bCs/>
          <w:szCs w:val="32"/>
        </w:rPr>
        <w:t>）推进法治乡村建设，加强公共法律服务</w:t>
      </w:r>
    </w:p>
    <w:p>
      <w:pPr>
        <w:widowControl w:val="0"/>
        <w:ind w:firstLine="632" w:firstLineChars="200"/>
        <w:rPr>
          <w:rFonts w:hint="eastAsia"/>
          <w:szCs w:val="32"/>
        </w:rPr>
      </w:pPr>
      <w:r>
        <w:rPr>
          <w:rFonts w:hint="eastAsia"/>
          <w:szCs w:val="32"/>
        </w:rPr>
        <w:t>建立健全“法律明白人”工作制度，全面开展“法律明白人”及“学法用法示范户”培养工作。让“法律明白人”“学法用法示范户”成为法律法规宣传员、矛盾纠纷调解员、法治建设参与者。发挥“一村一法律顾问”作用，加强公共法律服务站（室）示范点创建，切实帮助群众妥善解决生产生活中的各项问题，全面提升辖区内人民群众的获得感、幸福感。</w:t>
      </w:r>
    </w:p>
    <w:p>
      <w:pPr>
        <w:widowControl w:val="0"/>
        <w:ind w:firstLine="632" w:firstLineChars="200"/>
        <w:rPr>
          <w:rFonts w:hint="eastAsia"/>
          <w:szCs w:val="32"/>
        </w:rPr>
      </w:pPr>
    </w:p>
    <w:p>
      <w:pPr>
        <w:widowControl w:val="0"/>
        <w:ind w:firstLine="632" w:firstLineChars="200"/>
        <w:rPr>
          <w:rFonts w:hint="eastAsia"/>
          <w:szCs w:val="32"/>
        </w:rPr>
      </w:pPr>
    </w:p>
    <w:p>
      <w:pPr>
        <w:widowControl w:val="0"/>
        <w:ind w:firstLine="632" w:firstLineChars="200"/>
        <w:rPr>
          <w:rFonts w:hint="eastAsia"/>
          <w:szCs w:val="32"/>
        </w:rPr>
      </w:pPr>
    </w:p>
    <w:p>
      <w:pPr>
        <w:widowControl w:val="0"/>
        <w:rPr>
          <w:rFonts w:hint="eastAsia"/>
          <w:szCs w:val="32"/>
        </w:rPr>
      </w:pPr>
    </w:p>
    <w:p>
      <w:pPr>
        <w:widowControl w:val="0"/>
        <w:ind w:right="1264" w:rightChars="400"/>
        <w:jc w:val="right"/>
        <w:rPr>
          <w:szCs w:val="32"/>
        </w:rPr>
      </w:pPr>
      <w:r>
        <w:rPr>
          <w:rFonts w:hint="eastAsia"/>
          <w:szCs w:val="32"/>
        </w:rPr>
        <w:t>中共洪山镇委员会</w:t>
      </w:r>
    </w:p>
    <w:p>
      <w:pPr>
        <w:widowControl w:val="0"/>
        <w:wordWrap w:val="0"/>
        <w:ind w:right="1264" w:rightChars="400"/>
        <w:jc w:val="right"/>
        <w:rPr>
          <w:rFonts w:hint="eastAsia"/>
          <w:szCs w:val="32"/>
        </w:rPr>
      </w:pPr>
      <w:r>
        <w:rPr>
          <w:rFonts w:hint="eastAsia"/>
          <w:szCs w:val="32"/>
        </w:rPr>
        <w:t xml:space="preserve">洪山镇人民政府 </w:t>
      </w:r>
    </w:p>
    <w:p>
      <w:pPr>
        <w:widowControl w:val="0"/>
        <w:ind w:right="1264" w:rightChars="400"/>
        <w:jc w:val="right"/>
        <w:rPr>
          <w:szCs w:val="32"/>
        </w:rPr>
      </w:pPr>
      <w:r>
        <w:rPr>
          <w:rFonts w:hint="eastAsia"/>
          <w:szCs w:val="32"/>
        </w:rPr>
        <w:t>202</w:t>
      </w:r>
      <w:r>
        <w:rPr>
          <w:szCs w:val="32"/>
        </w:rPr>
        <w:t>4</w:t>
      </w:r>
      <w:r>
        <w:rPr>
          <w:rFonts w:hint="eastAsia"/>
          <w:szCs w:val="32"/>
        </w:rPr>
        <w:t>年11月</w:t>
      </w:r>
      <w:r>
        <w:rPr>
          <w:rFonts w:hint="eastAsia"/>
          <w:szCs w:val="32"/>
          <w:lang w:val="en-US" w:eastAsia="zh-CN"/>
        </w:rPr>
        <w:t>8</w:t>
      </w:r>
      <w:r>
        <w:rPr>
          <w:rFonts w:hint="eastAsia"/>
          <w:szCs w:val="32"/>
        </w:rPr>
        <w:t>日</w:t>
      </w: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ind w:right="1264" w:rightChars="400"/>
        <w:jc w:val="right"/>
      </w:pPr>
    </w:p>
    <w:p>
      <w:pPr>
        <w:widowControl w:val="0"/>
      </w:pPr>
    </w:p>
    <w:p>
      <w:pPr>
        <w:widowControl w:val="0"/>
      </w:pPr>
    </w:p>
    <w:tbl>
      <w:tblPr>
        <w:tblStyle w:val="5"/>
        <w:tblW w:w="0" w:type="auto"/>
        <w:jc w:val="center"/>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9063"/>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63" w:type="dxa"/>
            <w:vAlign w:val="center"/>
          </w:tcPr>
          <w:p>
            <w:pPr>
              <w:widowControl w:val="0"/>
              <w:spacing w:line="240" w:lineRule="auto"/>
              <w:ind w:left="316" w:leftChars="100" w:right="316" w:rightChars="100"/>
            </w:pPr>
            <w:r>
              <w:rPr>
                <w:rFonts w:hint="eastAsia"/>
              </w:rPr>
              <w:t>抄送：区委依法治区办。</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9063" w:type="dxa"/>
            <w:vAlign w:val="center"/>
          </w:tcPr>
          <w:p>
            <w:pPr>
              <w:widowControl w:val="0"/>
              <w:spacing w:line="240" w:lineRule="auto"/>
              <w:ind w:left="316" w:leftChars="100" w:right="316" w:rightChars="100"/>
            </w:pPr>
            <w:r>
              <w:rPr>
                <w:rFonts w:hint="eastAsia"/>
              </w:rPr>
              <w:t xml:space="preserve">洪山镇党政综合办公室 </w:t>
            </w:r>
            <w:r>
              <w:t xml:space="preserve">            2024</w:t>
            </w:r>
            <w:r>
              <w:rPr>
                <w:rFonts w:hint="eastAsia"/>
              </w:rPr>
              <w:t>年11月</w:t>
            </w:r>
            <w:r>
              <w:rPr>
                <w:rFonts w:hint="eastAsia"/>
                <w:lang w:val="en-US" w:eastAsia="zh-CN"/>
              </w:rPr>
              <w:t>8</w:t>
            </w:r>
            <w:r>
              <w:rPr>
                <w:rFonts w:hint="eastAsia"/>
              </w:rPr>
              <w:t>日印发</w:t>
            </w:r>
          </w:p>
        </w:tc>
      </w:tr>
    </w:tbl>
    <w:p>
      <w:pPr>
        <w:widowControl w:val="0"/>
        <w:spacing w:line="20" w:lineRule="exact"/>
      </w:pPr>
    </w:p>
    <w:sectPr>
      <w:footerReference r:id="rId5" w:type="default"/>
      <w:footerReference r:id="rId6" w:type="even"/>
      <w:type w:val="continuous"/>
      <w:pgSz w:w="11909" w:h="16834"/>
      <w:pgMar w:top="2098" w:right="1474" w:bottom="1985" w:left="1588" w:header="851" w:footer="1418" w:gutter="0"/>
      <w:pgNumType w:fmt="numberInDash"/>
      <w:cols w:space="425" w:num="1"/>
      <w:docGrid w:type="linesAndChars" w:linePitch="579" w:charSpace="-8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5030587"/>
      <w:docPartObj>
        <w:docPartGallery w:val="autotext"/>
      </w:docPartObj>
    </w:sdtPr>
    <w:sdtEndPr>
      <w:rPr>
        <w:rFonts w:ascii="宋体" w:hAnsi="宋体" w:eastAsia="宋体"/>
        <w:sz w:val="28"/>
        <w:szCs w:val="28"/>
      </w:rPr>
    </w:sdtEndPr>
    <w:sdtContent>
      <w:p>
        <w:pPr>
          <w:pStyle w:val="2"/>
          <w:ind w:right="320" w:rightChars="100"/>
          <w:jc w:val="right"/>
          <w:rPr>
            <w:rFonts w:ascii="宋体" w:hAnsi="宋体" w:eastAsia="宋体"/>
            <w:sz w:val="28"/>
            <w:szCs w:val="28"/>
          </w:rPr>
        </w:pPr>
        <w:r>
          <w:rPr>
            <w:rFonts w:hint="eastAsia"/>
            <w:color w:val="FFFFFF" w:themeColor="background1"/>
          </w:rPr>
          <w:t>---by</w:t>
        </w:r>
        <w:r>
          <w:rPr>
            <w:color w:val="FFFFFF" w:themeColor="background1"/>
          </w:rPr>
          <w:t xml:space="preserve">   sl  </w:t>
        </w: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3799953"/>
      <w:docPartObj>
        <w:docPartGallery w:val="autotext"/>
      </w:docPartObj>
    </w:sdtPr>
    <w:sdtEndPr>
      <w:rPr>
        <w:rFonts w:ascii="宋体" w:hAnsi="宋体" w:eastAsia="宋体"/>
        <w:sz w:val="28"/>
        <w:szCs w:val="28"/>
      </w:rPr>
    </w:sdtEndPr>
    <w:sdtContent>
      <w:p>
        <w:pPr>
          <w:pStyle w:val="2"/>
          <w:ind w:left="320" w:leftChars="100"/>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r>
          <w:rPr>
            <w:rFonts w:ascii="宋体" w:hAnsi="宋体" w:eastAsia="宋体"/>
            <w:color w:val="FFFFFF" w:themeColor="background1"/>
            <w:sz w:val="28"/>
            <w:szCs w:val="28"/>
          </w:rPr>
          <w:t xml:space="preserve">   ---by  sl</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evenAndOddHeaders w:val="1"/>
  <w:drawingGridHorizontalSpacing w:val="158"/>
  <w:drawingGridVerticalSpacing w:val="579"/>
  <w:displayHorizontalDrawingGridEvery w:val="0"/>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jM4ZmIzOWYxZGIxNDZiZjk2ODFlN2IyZWZiZWQ5OWIifQ=="/>
    <w:docVar w:name="KSO_WPS_MARK_KEY" w:val="b2f2698f-cd89-4ab1-b3aa-d149eba11d0f"/>
  </w:docVars>
  <w:rsids>
    <w:rsidRoot w:val="008515FA"/>
    <w:rsid w:val="00003133"/>
    <w:rsid w:val="00004AB1"/>
    <w:rsid w:val="000150D0"/>
    <w:rsid w:val="000415B7"/>
    <w:rsid w:val="00086F83"/>
    <w:rsid w:val="0009480A"/>
    <w:rsid w:val="000B1C4F"/>
    <w:rsid w:val="000C3859"/>
    <w:rsid w:val="000C6E52"/>
    <w:rsid w:val="000C794D"/>
    <w:rsid w:val="000D669A"/>
    <w:rsid w:val="000F607F"/>
    <w:rsid w:val="000F6852"/>
    <w:rsid w:val="00105D6B"/>
    <w:rsid w:val="001243F0"/>
    <w:rsid w:val="00146413"/>
    <w:rsid w:val="00154EBC"/>
    <w:rsid w:val="00160BB6"/>
    <w:rsid w:val="00170212"/>
    <w:rsid w:val="001738B9"/>
    <w:rsid w:val="0018007E"/>
    <w:rsid w:val="001979AA"/>
    <w:rsid w:val="001B3D15"/>
    <w:rsid w:val="001D0D0C"/>
    <w:rsid w:val="00203496"/>
    <w:rsid w:val="0026085F"/>
    <w:rsid w:val="002C1386"/>
    <w:rsid w:val="00317A62"/>
    <w:rsid w:val="00335D52"/>
    <w:rsid w:val="00340487"/>
    <w:rsid w:val="00392024"/>
    <w:rsid w:val="003948F9"/>
    <w:rsid w:val="003B2C00"/>
    <w:rsid w:val="003B373E"/>
    <w:rsid w:val="003D77D0"/>
    <w:rsid w:val="003E0C19"/>
    <w:rsid w:val="00430CEF"/>
    <w:rsid w:val="0044482D"/>
    <w:rsid w:val="00445003"/>
    <w:rsid w:val="00477191"/>
    <w:rsid w:val="00494661"/>
    <w:rsid w:val="004E7F69"/>
    <w:rsid w:val="00510933"/>
    <w:rsid w:val="0052462E"/>
    <w:rsid w:val="00526D76"/>
    <w:rsid w:val="005419B5"/>
    <w:rsid w:val="0058416E"/>
    <w:rsid w:val="005853C2"/>
    <w:rsid w:val="005917DD"/>
    <w:rsid w:val="00592AA3"/>
    <w:rsid w:val="005B788F"/>
    <w:rsid w:val="005F57D6"/>
    <w:rsid w:val="005F7D8C"/>
    <w:rsid w:val="00605F86"/>
    <w:rsid w:val="00611070"/>
    <w:rsid w:val="0062656F"/>
    <w:rsid w:val="0063619B"/>
    <w:rsid w:val="006665B8"/>
    <w:rsid w:val="006716C3"/>
    <w:rsid w:val="006C6DD6"/>
    <w:rsid w:val="006D46FF"/>
    <w:rsid w:val="00703624"/>
    <w:rsid w:val="0073322F"/>
    <w:rsid w:val="00736514"/>
    <w:rsid w:val="00745C41"/>
    <w:rsid w:val="007A161F"/>
    <w:rsid w:val="007C532E"/>
    <w:rsid w:val="007E67FE"/>
    <w:rsid w:val="007F0F8C"/>
    <w:rsid w:val="0084503B"/>
    <w:rsid w:val="00847259"/>
    <w:rsid w:val="008515FA"/>
    <w:rsid w:val="00873B95"/>
    <w:rsid w:val="00886BD9"/>
    <w:rsid w:val="008A6846"/>
    <w:rsid w:val="008A6BC5"/>
    <w:rsid w:val="008A712F"/>
    <w:rsid w:val="008A791F"/>
    <w:rsid w:val="008D475E"/>
    <w:rsid w:val="009E1599"/>
    <w:rsid w:val="009E192F"/>
    <w:rsid w:val="009E4793"/>
    <w:rsid w:val="00A04EDB"/>
    <w:rsid w:val="00A27147"/>
    <w:rsid w:val="00A3240B"/>
    <w:rsid w:val="00A54FCF"/>
    <w:rsid w:val="00A70BE4"/>
    <w:rsid w:val="00AB454A"/>
    <w:rsid w:val="00AD55A5"/>
    <w:rsid w:val="00B00AF6"/>
    <w:rsid w:val="00B60D2F"/>
    <w:rsid w:val="00B90588"/>
    <w:rsid w:val="00B94764"/>
    <w:rsid w:val="00BB1D11"/>
    <w:rsid w:val="00BC4777"/>
    <w:rsid w:val="00BD14BC"/>
    <w:rsid w:val="00C05508"/>
    <w:rsid w:val="00C3163B"/>
    <w:rsid w:val="00C358CB"/>
    <w:rsid w:val="00C54B40"/>
    <w:rsid w:val="00C73229"/>
    <w:rsid w:val="00C92849"/>
    <w:rsid w:val="00CA44F6"/>
    <w:rsid w:val="00CC6E7B"/>
    <w:rsid w:val="00CF4A18"/>
    <w:rsid w:val="00D44483"/>
    <w:rsid w:val="00D472A8"/>
    <w:rsid w:val="00D5201C"/>
    <w:rsid w:val="00D7721E"/>
    <w:rsid w:val="00DF10C3"/>
    <w:rsid w:val="00DF3ED8"/>
    <w:rsid w:val="00E6186C"/>
    <w:rsid w:val="00EC3F20"/>
    <w:rsid w:val="00F002A9"/>
    <w:rsid w:val="00F15504"/>
    <w:rsid w:val="00F352A3"/>
    <w:rsid w:val="00F37AAC"/>
    <w:rsid w:val="00F644A0"/>
    <w:rsid w:val="00FB5D3D"/>
    <w:rsid w:val="00FB63B4"/>
    <w:rsid w:val="00FD39A7"/>
    <w:rsid w:val="00FE74B9"/>
    <w:rsid w:val="04AC7907"/>
    <w:rsid w:val="08895414"/>
    <w:rsid w:val="0B17651E"/>
    <w:rsid w:val="0C331562"/>
    <w:rsid w:val="20041C8A"/>
    <w:rsid w:val="226B7C44"/>
    <w:rsid w:val="2E11131B"/>
    <w:rsid w:val="4114603C"/>
    <w:rsid w:val="459B56C8"/>
    <w:rsid w:val="596F4300"/>
    <w:rsid w:val="5E8D75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仿宋_GB2312" w:hAnsi="Tahoma" w:eastAsia="仿宋_GB2312"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560" w:lineRule="exact"/>
      <w:jc w:val="both"/>
    </w:pPr>
    <w:rPr>
      <w:rFonts w:ascii="仿宋_GB2312" w:hAnsi="Tahoma" w:eastAsia="仿宋_GB2312" w:cstheme="minorBidi"/>
      <w:sz w:val="32"/>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spacing w:line="240" w:lineRule="atLeast"/>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table" w:styleId="5">
    <w:name w:val="Table Grid"/>
    <w:basedOn w:val="4"/>
    <w:qFormat/>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2765</Words>
  <Characters>2828</Characters>
  <Lines>21</Lines>
  <Paragraphs>6</Paragraphs>
  <TotalTime>10</TotalTime>
  <ScaleCrop>false</ScaleCrop>
  <LinksUpToDate>false</LinksUpToDate>
  <CharactersWithSpaces>2830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2024-11-05T02:55:00Z</dcterms:created>
  <dc:creator>任林</dc:creator>
  <cp:lastModifiedBy>橘正政</cp:lastModifiedBy>
  <cp:lastPrinted>2024-11-15T03:12:00Z</cp:lastPrinted>
  <dcterms:modified xsi:type="dcterms:W3CDTF">2024-12-10T01:20:05Z</dcterms:modified>
  <dc:title>洪山镇刘任林</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B477C67A3A8D4CE68E6E234226D596DE_12</vt:lpwstr>
  </property>
</Properties>
</file>