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7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bookmarkStart w:id="0" w:name="_GoBack"/>
      <w:r>
        <w:rPr>
          <w:rFonts w:hint="eastAsia" w:ascii="方正小标宋简体" w:hAnsi="方正小标宋简体" w:eastAsia="方正小标宋简体" w:cs="方正小标宋简体"/>
          <w:sz w:val="44"/>
          <w:szCs w:val="44"/>
          <w:lang w:eastAsia="zh-CN"/>
        </w:rPr>
        <w:drawing>
          <wp:anchor distT="0" distB="0" distL="114935" distR="114935" simplePos="0" relativeHeight="251659264" behindDoc="1" locked="0" layoutInCell="1" allowOverlap="1">
            <wp:simplePos x="0" y="0"/>
            <wp:positionH relativeFrom="column">
              <wp:posOffset>-920115</wp:posOffset>
            </wp:positionH>
            <wp:positionV relativeFrom="page">
              <wp:posOffset>310515</wp:posOffset>
            </wp:positionV>
            <wp:extent cx="6901180" cy="9533255"/>
            <wp:effectExtent l="0" t="0" r="2540" b="6985"/>
            <wp:wrapNone/>
            <wp:docPr id="6" name="图片 6" descr="C:/Users/DELL/Desktop/湖委红头.jpg湖委红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Desktop/湖委红头.jpg湖委红头"/>
                    <pic:cNvPicPr>
                      <a:picLocks noChangeAspect="1"/>
                    </pic:cNvPicPr>
                  </pic:nvPicPr>
                  <pic:blipFill>
                    <a:blip r:embed="rId6"/>
                    <a:srcRect t="1578" b="1578"/>
                    <a:stretch>
                      <a:fillRect/>
                    </a:stretch>
                  </pic:blipFill>
                  <pic:spPr>
                    <a:xfrm>
                      <a:off x="0" y="0"/>
                      <a:ext cx="6901180" cy="9533255"/>
                    </a:xfrm>
                    <a:prstGeom prst="rect">
                      <a:avLst/>
                    </a:prstGeom>
                  </pic:spPr>
                </pic:pic>
              </a:graphicData>
            </a:graphic>
          </wp:anchor>
        </w:drawing>
      </w:r>
      <w:bookmarkEnd w:id="0"/>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olor w:val="auto"/>
          <w:sz w:val="32"/>
          <w:szCs w:val="32"/>
        </w:rPr>
      </w:pPr>
      <w:r>
        <w:rPr>
          <w:rFonts w:hint="eastAsia" w:ascii="仿宋_GB2312" w:hAnsi="仿宋_GB2312" w:eastAsia="仿宋_GB2312" w:cs="仿宋_GB2312"/>
          <w:sz w:val="32"/>
          <w:szCs w:val="32"/>
          <w:lang w:val="en-US" w:eastAsia="zh-CN"/>
        </w:rPr>
        <w:t>湖委〔2023〕47号</w:t>
      </w:r>
    </w:p>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龙岩市永定区湖雷镇</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sz w:val="44"/>
          <w:szCs w:val="44"/>
          <w:lang w:val="en-US" w:eastAsia="zh-CN"/>
        </w:rPr>
        <w:t>2023年法治政府建设工作情况报告</w:t>
      </w:r>
    </w:p>
    <w:p>
      <w:pPr>
        <w:pBdr>
          <w:left w:val="none" w:color="000000" w:sz="0" w:space="0"/>
          <w:bottom w:val="none" w:color="000000" w:sz="0" w:space="0"/>
          <w:right w:val="none" w:color="000000" w:sz="0" w:space="0"/>
          <w:between w:val="none" w:color="000000" w:sz="0" w:space="0"/>
        </w:pBdr>
        <w:spacing w:line="570" w:lineRule="exact"/>
        <w:jc w:val="left"/>
        <w:rPr>
          <w:rFonts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区委、区政府：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年以来，在</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委、</w:t>
      </w:r>
      <w:r>
        <w:rPr>
          <w:rFonts w:hint="eastAsia" w:ascii="仿宋" w:hAnsi="仿宋" w:eastAsia="仿宋" w:cs="仿宋"/>
          <w:color w:val="auto"/>
          <w:sz w:val="32"/>
          <w:szCs w:val="32"/>
          <w:lang w:eastAsia="zh-CN"/>
        </w:rPr>
        <w:t>区</w:t>
      </w:r>
      <w:r>
        <w:rPr>
          <w:rFonts w:hint="eastAsia" w:ascii="仿宋" w:hAnsi="仿宋" w:eastAsia="仿宋" w:cs="仿宋"/>
          <w:color w:val="auto"/>
          <w:sz w:val="32"/>
          <w:szCs w:val="32"/>
        </w:rPr>
        <w:t>政府的坚强领导下，</w:t>
      </w:r>
      <w:r>
        <w:rPr>
          <w:rFonts w:hint="eastAsia" w:ascii="仿宋" w:hAnsi="仿宋" w:eastAsia="仿宋" w:cs="仿宋"/>
          <w:color w:val="auto"/>
          <w:sz w:val="32"/>
          <w:szCs w:val="32"/>
          <w:lang w:eastAsia="zh-CN"/>
        </w:rPr>
        <w:t>湖雷</w:t>
      </w:r>
      <w:r>
        <w:rPr>
          <w:rFonts w:hint="eastAsia" w:ascii="仿宋" w:hAnsi="仿宋" w:eastAsia="仿宋" w:cs="仿宋"/>
          <w:color w:val="auto"/>
          <w:sz w:val="32"/>
          <w:szCs w:val="32"/>
        </w:rPr>
        <w:t>镇深入学习贯彻习近平法治思想，严格落实中央《法治政府建设实施纲要》，认真履行法治政府建设各项职责，将依法行政落实到完善学法制度、重大事项民主决策、强化规范性文件管理、推行政务公开等法治建设各方面，持续推进行政规范管理工作，持续加强普法宣传，有效提高了我镇依法决策、依法管理、依法行政的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、推进法治政府建设的主要举措及成效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（一）加强组织领导，健全工作机制</w:t>
      </w:r>
      <w:r>
        <w:rPr>
          <w:rFonts w:hint="eastAsia" w:ascii="仿宋" w:hAnsi="仿宋" w:eastAsia="仿宋" w:cs="仿宋"/>
          <w:color w:val="auto"/>
          <w:sz w:val="32"/>
          <w:szCs w:val="32"/>
        </w:rPr>
        <w:t>。党政主要负责人切实履行推进法治建设第一责任人职责，带头学习宪法法律，带头厉行法治、依法办事。成立了以镇党委书记为组长的湖雷镇法治政府建设工作领导小组</w:t>
      </w:r>
      <w:r>
        <w:rPr>
          <w:rFonts w:hint="eastAsia" w:ascii="仿宋" w:hAnsi="仿宋" w:eastAsia="仿宋" w:cs="仿宋"/>
          <w:color w:val="auto"/>
          <w:sz w:val="32"/>
          <w:szCs w:val="32"/>
          <w:lang w:eastAsia="zh-CN"/>
        </w:rPr>
        <w:t>和湖雷镇委员会全面依法治镇委员会</w:t>
      </w:r>
      <w:r>
        <w:rPr>
          <w:rFonts w:hint="eastAsia" w:ascii="仿宋" w:hAnsi="仿宋" w:eastAsia="仿宋" w:cs="仿宋"/>
          <w:color w:val="auto"/>
          <w:sz w:val="32"/>
          <w:szCs w:val="32"/>
        </w:rPr>
        <w:t>，建立完善工作机制，进一步压实工作责任。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（二）狠抓理论学习，厚植法治思维。</w:t>
      </w:r>
      <w:r>
        <w:rPr>
          <w:rFonts w:hint="eastAsia" w:ascii="仿宋" w:hAnsi="仿宋" w:eastAsia="仿宋" w:cs="仿宋"/>
          <w:color w:val="auto"/>
          <w:sz w:val="32"/>
          <w:szCs w:val="32"/>
        </w:rPr>
        <w:t>镇党委坚持带头学深悟透习近平法治思想，组织开展</w:t>
      </w:r>
      <w:r>
        <w:rPr>
          <w:rFonts w:hint="eastAsia" w:ascii="仿宋" w:hAnsi="仿宋" w:eastAsia="仿宋" w:cs="仿宋"/>
          <w:color w:val="auto"/>
          <w:sz w:val="32"/>
          <w:szCs w:val="32"/>
          <w:lang w:eastAsia="zh-CN"/>
        </w:rPr>
        <w:t>党委</w:t>
      </w:r>
      <w:r>
        <w:rPr>
          <w:rFonts w:hint="eastAsia" w:ascii="仿宋" w:hAnsi="仿宋" w:eastAsia="仿宋" w:cs="仿宋"/>
          <w:color w:val="auto"/>
          <w:sz w:val="32"/>
          <w:szCs w:val="32"/>
        </w:rPr>
        <w:t>理论</w:t>
      </w:r>
      <w:r>
        <w:rPr>
          <w:rFonts w:hint="eastAsia" w:ascii="仿宋" w:hAnsi="仿宋" w:eastAsia="仿宋" w:cs="仿宋"/>
          <w:color w:val="auto"/>
          <w:sz w:val="32"/>
          <w:szCs w:val="32"/>
          <w:lang w:eastAsia="zh-CN"/>
        </w:rPr>
        <w:t>学习</w:t>
      </w:r>
      <w:r>
        <w:rPr>
          <w:rFonts w:hint="eastAsia" w:ascii="仿宋" w:hAnsi="仿宋" w:eastAsia="仿宋" w:cs="仿宋"/>
          <w:color w:val="auto"/>
          <w:sz w:val="32"/>
          <w:szCs w:val="32"/>
        </w:rPr>
        <w:t>中心组、会前学法等专题学习，认真学习贯彻《宪法》《民法典》《中华人民共和国公务员法》等法律法规。通过讲座培训、</w:t>
      </w:r>
      <w:r>
        <w:rPr>
          <w:rFonts w:hint="eastAsia" w:ascii="仿宋" w:hAnsi="仿宋" w:eastAsia="仿宋" w:cs="仿宋"/>
          <w:color w:val="auto"/>
          <w:sz w:val="32"/>
          <w:szCs w:val="32"/>
          <w:lang w:eastAsia="zh-CN"/>
        </w:rPr>
        <w:t>党委理论学习中心组</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镇村</w:t>
      </w:r>
      <w:r>
        <w:rPr>
          <w:rFonts w:hint="eastAsia" w:ascii="仿宋" w:hAnsi="仿宋" w:eastAsia="仿宋" w:cs="仿宋"/>
          <w:color w:val="auto"/>
          <w:sz w:val="32"/>
          <w:szCs w:val="32"/>
        </w:rPr>
        <w:t>干部大会等形式，传达学习习近平总书记在中央全面依法治国委员会会议上的重要讲话精神和习近平总书记关于全面依法治国的重要论述，有效增强了干部职工法治意识，强化了法治思维。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（三）聘请法律顾问，强化依法决策。</w:t>
      </w:r>
      <w:r>
        <w:rPr>
          <w:rFonts w:hint="eastAsia" w:ascii="仿宋" w:hAnsi="仿宋" w:eastAsia="仿宋" w:cs="仿宋"/>
          <w:color w:val="auto"/>
          <w:sz w:val="32"/>
          <w:szCs w:val="32"/>
        </w:rPr>
        <w:t>通过政府购买法律服务的形式，</w:t>
      </w:r>
      <w:r>
        <w:rPr>
          <w:rFonts w:hint="eastAsia" w:ascii="仿宋_GB2312" w:hAnsi="Calibri" w:eastAsia="仿宋_GB2312" w:cs="Calibri"/>
          <w:sz w:val="32"/>
          <w:szCs w:val="32"/>
        </w:rPr>
        <w:t>与福建天衡联合（龙岩）律师事务所签订了法律顾问聘用合同，由游菊兴、廖浩秋、罗诗万三名律师作为湖雷镇人民政府常年法律顾问</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充分</w:t>
      </w:r>
      <w:r>
        <w:rPr>
          <w:rFonts w:hint="eastAsia" w:ascii="仿宋" w:hAnsi="仿宋" w:eastAsia="仿宋" w:cs="仿宋"/>
          <w:color w:val="auto"/>
          <w:sz w:val="32"/>
          <w:szCs w:val="32"/>
        </w:rPr>
        <w:t>发挥法律顾问的参谋作用，对党委、政府重大决策、重大事项提出有效法律意见和建议，预防化解法律风险，为党委、政府依法执政、依法行政提供强有力的法治保障。</w:t>
      </w:r>
      <w:r>
        <w:rPr>
          <w:rFonts w:hint="eastAsia" w:ascii="仿宋" w:hAnsi="仿宋" w:eastAsia="仿宋" w:cs="仿宋"/>
          <w:color w:val="auto"/>
          <w:sz w:val="32"/>
          <w:szCs w:val="32"/>
          <w:lang w:val="en-US" w:eastAsia="zh-CN"/>
        </w:rPr>
        <w:t>27</w:t>
      </w:r>
      <w:r>
        <w:rPr>
          <w:rFonts w:hint="eastAsia" w:ascii="仿宋" w:hAnsi="仿宋" w:eastAsia="仿宋" w:cs="仿宋"/>
          <w:color w:val="auto"/>
          <w:sz w:val="32"/>
          <w:szCs w:val="32"/>
        </w:rPr>
        <w:t>个村均聘请职业律师担任村法律顾问，在村集体经济发展、公共事业建设、矛盾纠纷多元化解等领域积极发挥作用，做到从“事后补救”变为“事前预防”，极大地提升了村级依法治理的能力和水平。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w:t>
      </w:r>
      <w:r>
        <w:rPr>
          <w:rFonts w:hint="eastAsia" w:ascii="仿宋" w:hAnsi="仿宋" w:eastAsia="仿宋" w:cs="仿宋"/>
          <w:b/>
          <w:bCs/>
          <w:color w:val="auto"/>
          <w:sz w:val="32"/>
          <w:szCs w:val="32"/>
          <w:lang w:eastAsia="zh-CN"/>
        </w:rPr>
        <w:t>四</w:t>
      </w:r>
      <w:r>
        <w:rPr>
          <w:rFonts w:hint="eastAsia" w:ascii="仿宋" w:hAnsi="仿宋" w:eastAsia="仿宋" w:cs="仿宋"/>
          <w:b/>
          <w:bCs/>
          <w:color w:val="auto"/>
          <w:sz w:val="32"/>
          <w:szCs w:val="32"/>
        </w:rPr>
        <w:t>）建立权责清单，规范权力运行。</w:t>
      </w:r>
      <w:r>
        <w:rPr>
          <w:rFonts w:hint="eastAsia" w:ascii="仿宋" w:hAnsi="仿宋" w:eastAsia="仿宋" w:cs="仿宋"/>
          <w:color w:val="auto"/>
          <w:sz w:val="32"/>
          <w:szCs w:val="32"/>
        </w:rPr>
        <w:t>全面梳理、公布</w:t>
      </w:r>
      <w:r>
        <w:rPr>
          <w:rFonts w:hint="eastAsia" w:ascii="仿宋" w:hAnsi="仿宋" w:eastAsia="仿宋" w:cs="仿宋"/>
          <w:color w:val="auto"/>
          <w:sz w:val="32"/>
          <w:szCs w:val="32"/>
          <w:lang w:eastAsia="zh-CN"/>
        </w:rPr>
        <w:t>湖雷</w:t>
      </w:r>
      <w:r>
        <w:rPr>
          <w:rFonts w:hint="eastAsia" w:ascii="仿宋" w:hAnsi="仿宋" w:eastAsia="仿宋" w:cs="仿宋"/>
          <w:color w:val="auto"/>
          <w:sz w:val="32"/>
          <w:szCs w:val="32"/>
        </w:rPr>
        <w:t>镇“权责清单”“公共服务清单”，并实行动态调整。将职权目录、实施主体、法律依据、办理流程以清单的方式进行列举和图解，进一步规范权力运行，加强对权力运行的制约和监督。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w:t>
      </w:r>
      <w:r>
        <w:rPr>
          <w:rFonts w:hint="eastAsia" w:ascii="仿宋" w:hAnsi="仿宋" w:eastAsia="仿宋" w:cs="仿宋"/>
          <w:b/>
          <w:bCs/>
          <w:color w:val="auto"/>
          <w:sz w:val="32"/>
          <w:szCs w:val="32"/>
          <w:lang w:eastAsia="zh-CN"/>
        </w:rPr>
        <w:t>五</w:t>
      </w:r>
      <w:r>
        <w:rPr>
          <w:rFonts w:hint="eastAsia" w:ascii="仿宋" w:hAnsi="仿宋" w:eastAsia="仿宋" w:cs="仿宋"/>
          <w:b/>
          <w:bCs/>
          <w:color w:val="auto"/>
          <w:sz w:val="32"/>
          <w:szCs w:val="32"/>
        </w:rPr>
        <w:t>）强化党建引领，丰富“三治”内容。</w:t>
      </w:r>
      <w:r>
        <w:rPr>
          <w:rFonts w:hint="eastAsia" w:ascii="仿宋" w:hAnsi="仿宋" w:eastAsia="仿宋" w:cs="仿宋"/>
          <w:color w:val="auto"/>
          <w:sz w:val="32"/>
          <w:szCs w:val="32"/>
        </w:rPr>
        <w:t>各村坚持依法治理，根据本村实际制定公布《村民公约》，充分发挥乡贤、道德模范的示范引领作用，开展</w:t>
      </w:r>
      <w:r>
        <w:rPr>
          <w:rFonts w:hint="eastAsia" w:ascii="仿宋" w:hAnsi="仿宋" w:eastAsia="仿宋" w:cs="仿宋"/>
          <w:color w:val="auto"/>
          <w:sz w:val="32"/>
          <w:szCs w:val="32"/>
          <w:lang w:eastAsia="zh-CN"/>
        </w:rPr>
        <w:t>农村</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学法用法家</w:t>
      </w:r>
      <w:r>
        <w:rPr>
          <w:rFonts w:hint="eastAsia" w:ascii="仿宋" w:hAnsi="仿宋" w:eastAsia="仿宋" w:cs="仿宋"/>
          <w:color w:val="auto"/>
          <w:sz w:val="32"/>
          <w:szCs w:val="32"/>
        </w:rPr>
        <w:t>庭示范户”申报创建，积极构建党建引领、自治有力、法治有序、德治有效的基层社会治理模式。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w:t>
      </w:r>
      <w:r>
        <w:rPr>
          <w:rFonts w:hint="eastAsia" w:ascii="仿宋" w:hAnsi="仿宋" w:eastAsia="仿宋" w:cs="仿宋"/>
          <w:b/>
          <w:bCs/>
          <w:color w:val="auto"/>
          <w:sz w:val="32"/>
          <w:szCs w:val="32"/>
          <w:lang w:eastAsia="zh-CN"/>
        </w:rPr>
        <w:t>六</w:t>
      </w:r>
      <w:r>
        <w:rPr>
          <w:rFonts w:hint="eastAsia" w:ascii="仿宋" w:hAnsi="仿宋" w:eastAsia="仿宋" w:cs="仿宋"/>
          <w:b/>
          <w:bCs/>
          <w:color w:val="auto"/>
          <w:sz w:val="32"/>
          <w:szCs w:val="32"/>
        </w:rPr>
        <w:t>）坚持以上率下，依法调解纠纷。</w:t>
      </w:r>
      <w:r>
        <w:rPr>
          <w:rFonts w:hint="eastAsia" w:ascii="仿宋" w:hAnsi="仿宋" w:eastAsia="仿宋" w:cs="仿宋"/>
          <w:color w:val="auto"/>
          <w:sz w:val="32"/>
          <w:szCs w:val="32"/>
        </w:rPr>
        <w:t>建立健全信访响应机制和事项处理机制，严格落实领导干部带头接访制度，有效提高信访、投诉事项办结效率。202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年以来，全镇共受理人民调解案件</w:t>
      </w:r>
      <w:r>
        <w:rPr>
          <w:rFonts w:hint="eastAsia" w:ascii="仿宋" w:hAnsi="仿宋" w:eastAsia="仿宋" w:cs="仿宋"/>
          <w:color w:val="auto"/>
          <w:sz w:val="32"/>
          <w:szCs w:val="32"/>
          <w:lang w:val="en-US" w:eastAsia="zh-CN"/>
        </w:rPr>
        <w:t>220</w:t>
      </w:r>
      <w:r>
        <w:rPr>
          <w:rFonts w:hint="eastAsia" w:ascii="仿宋" w:hAnsi="仿宋" w:eastAsia="仿宋" w:cs="仿宋"/>
          <w:color w:val="auto"/>
          <w:sz w:val="32"/>
          <w:szCs w:val="32"/>
        </w:rPr>
        <w:t>余件，调解成功</w:t>
      </w:r>
      <w:r>
        <w:rPr>
          <w:rFonts w:hint="eastAsia" w:ascii="仿宋" w:hAnsi="仿宋" w:eastAsia="仿宋" w:cs="仿宋"/>
          <w:color w:val="auto"/>
          <w:sz w:val="32"/>
          <w:szCs w:val="32"/>
          <w:lang w:eastAsia="zh-CN"/>
        </w:rPr>
        <w:t>率达</w:t>
      </w:r>
      <w:r>
        <w:rPr>
          <w:rFonts w:hint="eastAsia" w:ascii="仿宋" w:hAnsi="仿宋" w:eastAsia="仿宋" w:cs="仿宋"/>
          <w:color w:val="auto"/>
          <w:sz w:val="32"/>
          <w:szCs w:val="32"/>
          <w:lang w:val="en-US" w:eastAsia="zh-CN"/>
        </w:rPr>
        <w:t>99%</w:t>
      </w:r>
      <w:r>
        <w:rPr>
          <w:rFonts w:hint="eastAsia" w:ascii="仿宋" w:hAnsi="仿宋" w:eastAsia="仿宋" w:cs="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rPr>
        <w:t>、存在的问题及原因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我镇推进法治政府建设工作虽然取得了较好成效，但也存在一些问题，主要表现在：一是在履行行政职能上，还有待进一步提升行政办事效率；二是行政决策机制及制度建设上，仍需进一步加强和完善；三是法律专业人才短缺，行政执法能力还有待进一步提高。主要原因是行政执法培训力度不够，执法人员缺少系统的行政法规培训，依法行政水平不高，对政策的把握能力有所欠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三</w:t>
      </w:r>
      <w:r>
        <w:rPr>
          <w:rFonts w:hint="eastAsia" w:ascii="黑体" w:hAnsi="黑体" w:eastAsia="黑体" w:cs="黑体"/>
          <w:b w:val="0"/>
          <w:bCs w:val="0"/>
          <w:color w:val="auto"/>
          <w:sz w:val="32"/>
          <w:szCs w:val="32"/>
        </w:rPr>
        <w:t>、下一步推进法治政府建设的主要工作安排</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（一）加强普法宣传。</w:t>
      </w:r>
      <w:r>
        <w:rPr>
          <w:rFonts w:hint="eastAsia" w:ascii="仿宋" w:hAnsi="仿宋" w:eastAsia="仿宋" w:cs="仿宋"/>
          <w:color w:val="auto"/>
          <w:sz w:val="32"/>
          <w:szCs w:val="32"/>
        </w:rPr>
        <w:t>在持续推进法治宣传教育工作中紧盯领导干部这一“关键少数”，</w:t>
      </w:r>
      <w:r>
        <w:rPr>
          <w:rFonts w:hint="eastAsia" w:ascii="仿宋" w:hAnsi="仿宋" w:eastAsia="仿宋" w:cs="仿宋"/>
          <w:color w:val="auto"/>
          <w:sz w:val="32"/>
          <w:szCs w:val="32"/>
          <w:lang w:eastAsia="zh-CN"/>
        </w:rPr>
        <w:t>利用党委理论学习中心组</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镇村</w:t>
      </w:r>
      <w:r>
        <w:rPr>
          <w:rFonts w:hint="eastAsia" w:ascii="仿宋" w:hAnsi="仿宋" w:eastAsia="仿宋" w:cs="仿宋"/>
          <w:color w:val="auto"/>
          <w:sz w:val="32"/>
          <w:szCs w:val="32"/>
        </w:rPr>
        <w:t>干部大会</w:t>
      </w:r>
      <w:r>
        <w:rPr>
          <w:rFonts w:hint="eastAsia" w:ascii="仿宋" w:hAnsi="仿宋" w:eastAsia="仿宋" w:cs="仿宋"/>
          <w:color w:val="auto"/>
          <w:sz w:val="32"/>
          <w:szCs w:val="32"/>
          <w:lang w:eastAsia="zh-CN"/>
        </w:rPr>
        <w:t>等形式</w:t>
      </w:r>
      <w:r>
        <w:rPr>
          <w:rFonts w:hint="eastAsia" w:ascii="仿宋" w:hAnsi="仿宋" w:eastAsia="仿宋" w:cs="仿宋"/>
          <w:color w:val="auto"/>
          <w:sz w:val="32"/>
          <w:szCs w:val="32"/>
        </w:rPr>
        <w:t>常态化开</w:t>
      </w:r>
      <w:r>
        <w:rPr>
          <w:rFonts w:hint="eastAsia" w:ascii="仿宋" w:hAnsi="仿宋" w:eastAsia="仿宋" w:cs="仿宋"/>
          <w:color w:val="auto"/>
          <w:sz w:val="32"/>
          <w:szCs w:val="32"/>
          <w:lang w:eastAsia="zh-CN"/>
        </w:rPr>
        <w:t>展</w:t>
      </w:r>
      <w:r>
        <w:rPr>
          <w:rFonts w:hint="eastAsia" w:ascii="仿宋" w:hAnsi="仿宋" w:eastAsia="仿宋" w:cs="仿宋"/>
          <w:color w:val="auto"/>
          <w:sz w:val="32"/>
          <w:szCs w:val="32"/>
        </w:rPr>
        <w:t>法治</w:t>
      </w:r>
      <w:r>
        <w:rPr>
          <w:rFonts w:hint="eastAsia" w:ascii="仿宋" w:hAnsi="仿宋" w:eastAsia="仿宋" w:cs="仿宋"/>
          <w:color w:val="auto"/>
          <w:sz w:val="32"/>
          <w:szCs w:val="32"/>
          <w:lang w:eastAsia="zh-CN"/>
        </w:rPr>
        <w:t>内容</w:t>
      </w:r>
      <w:r>
        <w:rPr>
          <w:rFonts w:hint="eastAsia" w:ascii="仿宋" w:hAnsi="仿宋" w:eastAsia="仿宋" w:cs="仿宋"/>
          <w:color w:val="auto"/>
          <w:sz w:val="32"/>
          <w:szCs w:val="32"/>
        </w:rPr>
        <w:t>学习</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适时举办宪法、民法典、行政处罚法等法治讲座，不断增强机关干部学法、用法意识。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（二）优化法律服务。</w:t>
      </w:r>
      <w:r>
        <w:rPr>
          <w:rFonts w:hint="eastAsia" w:ascii="仿宋" w:hAnsi="仿宋" w:eastAsia="仿宋" w:cs="仿宋"/>
          <w:color w:val="auto"/>
          <w:sz w:val="32"/>
          <w:szCs w:val="32"/>
        </w:rPr>
        <w:t>通过积极培育基层“法律明白人”</w:t>
      </w:r>
      <w:r>
        <w:rPr>
          <w:rFonts w:hint="eastAsia" w:ascii="仿宋" w:hAnsi="仿宋" w:eastAsia="仿宋" w:cs="仿宋"/>
          <w:color w:val="auto"/>
          <w:sz w:val="32"/>
          <w:szCs w:val="32"/>
          <w:lang w:eastAsia="zh-CN"/>
        </w:rPr>
        <w:t>“蒲公英”普法志愿者</w:t>
      </w:r>
      <w:r>
        <w:rPr>
          <w:rFonts w:hint="eastAsia" w:ascii="仿宋" w:hAnsi="仿宋" w:eastAsia="仿宋" w:cs="仿宋"/>
          <w:color w:val="auto"/>
          <w:sz w:val="32"/>
          <w:szCs w:val="32"/>
        </w:rPr>
        <w:t>，完善镇、村两级公共法律服务体系建设，在各村建立“法律服务微信群”</w:t>
      </w:r>
      <w:r>
        <w:rPr>
          <w:rFonts w:hint="eastAsia" w:ascii="仿宋" w:hAnsi="仿宋" w:eastAsia="仿宋" w:cs="仿宋"/>
          <w:color w:val="auto"/>
          <w:sz w:val="32"/>
          <w:szCs w:val="32"/>
          <w:lang w:eastAsia="zh-CN"/>
        </w:rPr>
        <w:t>和“小微权力监督群”</w:t>
      </w:r>
      <w:r>
        <w:rPr>
          <w:rFonts w:hint="eastAsia" w:ascii="仿宋" w:hAnsi="仿宋" w:eastAsia="仿宋" w:cs="仿宋"/>
          <w:color w:val="auto"/>
          <w:sz w:val="32"/>
          <w:szCs w:val="32"/>
        </w:rPr>
        <w:t>，实现在线咨询。推动法律服务阵地前移，充分满足基层群众法律服务需求，努力营造“办事依法、遇事找法、解决问题用法、化解矛盾靠法”的良好社会氛围。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（三）畅通监督渠道。</w:t>
      </w:r>
      <w:r>
        <w:rPr>
          <w:rFonts w:hint="eastAsia" w:ascii="仿宋" w:hAnsi="仿宋" w:eastAsia="仿宋" w:cs="仿宋"/>
          <w:color w:val="auto"/>
          <w:sz w:val="32"/>
          <w:szCs w:val="32"/>
        </w:rPr>
        <w:t>通过政务公开栏、政府网站等多平台全面推进政务公开，持续推动重点领域信息公开，积极回应关切。通过热线来电、意见征集、问卷调查等形式，加强与公众的互动交流，自觉接受社会公众监督。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（四）深化作风建设。</w:t>
      </w:r>
      <w:r>
        <w:rPr>
          <w:rFonts w:hint="eastAsia" w:ascii="仿宋" w:hAnsi="仿宋" w:eastAsia="仿宋" w:cs="仿宋"/>
          <w:color w:val="auto"/>
          <w:sz w:val="32"/>
          <w:szCs w:val="32"/>
        </w:rPr>
        <w:t>镇纪委适时开展作风建设大排查、集中整治形式主义官僚主义活动，采取有效措施加强机关效能建设，树牢干部纪律规矩意识和法治意识，优化干部作风。</w:t>
      </w:r>
    </w:p>
    <w:p>
      <w:pPr>
        <w:jc w:val="both"/>
        <w:rPr>
          <w:rFonts w:hint="default"/>
          <w:lang w:val="en-US" w:eastAsia="zh-CN"/>
        </w:rPr>
      </w:pPr>
    </w:p>
    <w:p>
      <w:pPr>
        <w:jc w:val="both"/>
        <w:rPr>
          <w:rFonts w:hint="default"/>
          <w:lang w:val="en-US" w:eastAsia="zh-CN"/>
        </w:rPr>
      </w:pPr>
    </w:p>
    <w:p>
      <w:pPr>
        <w:jc w:val="both"/>
        <w:rPr>
          <w:rFonts w:hint="default"/>
          <w:lang w:val="en-US" w:eastAsia="zh-CN"/>
        </w:rPr>
      </w:pPr>
    </w:p>
    <w:p>
      <w:pPr>
        <w:jc w:val="both"/>
        <w:rPr>
          <w:rFonts w:hint="default"/>
          <w:lang w:val="en-US" w:eastAsia="zh-CN"/>
        </w:rPr>
      </w:pPr>
    </w:p>
    <w:p>
      <w:pPr>
        <w:jc w:val="both"/>
        <w:rPr>
          <w:rFonts w:hint="default"/>
          <w:lang w:val="en-US" w:eastAsia="zh-CN"/>
        </w:rPr>
      </w:pPr>
    </w:p>
    <w:p>
      <w:pPr>
        <w:jc w:val="both"/>
        <w:rPr>
          <w:rFonts w:hint="default"/>
          <w:lang w:val="en-US" w:eastAsia="zh-CN"/>
        </w:rPr>
      </w:pPr>
    </w:p>
    <w:p>
      <w:pPr>
        <w:jc w:val="both"/>
        <w:rPr>
          <w:rFonts w:hint="default"/>
          <w:lang w:val="en-US" w:eastAsia="zh-CN"/>
        </w:rPr>
      </w:pPr>
    </w:p>
    <w:p>
      <w:pPr>
        <w:jc w:val="both"/>
        <w:rPr>
          <w:rFonts w:hint="default"/>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480" w:firstLineChars="1400"/>
        <w:jc w:val="both"/>
        <w:textAlignment w:val="auto"/>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中共永定区湖雷镇委员会</w:t>
      </w:r>
    </w:p>
    <w:p>
      <w:pPr>
        <w:jc w:val="both"/>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 xml:space="preserve">                               2023年12月1日   </w:t>
      </w:r>
    </w:p>
    <w:p>
      <w:pPr>
        <w:jc w:val="both"/>
        <w:rPr>
          <w:rFonts w:hint="eastAsia" w:ascii="仿宋" w:hAnsi="仿宋" w:eastAsia="仿宋" w:cs="仿宋"/>
          <w:i w:val="0"/>
          <w:iCs w:val="0"/>
          <w:caps w:val="0"/>
          <w:color w:val="auto"/>
          <w:spacing w:val="0"/>
          <w:sz w:val="32"/>
          <w:szCs w:val="32"/>
          <w:lang w:val="en-US" w:eastAsia="zh-CN"/>
        </w:rPr>
      </w:pPr>
    </w:p>
    <w:p>
      <w:pPr>
        <w:jc w:val="both"/>
        <w:rPr>
          <w:rFonts w:hint="eastAsia" w:ascii="仿宋" w:hAnsi="仿宋" w:eastAsia="仿宋" w:cs="仿宋"/>
          <w:i w:val="0"/>
          <w:iCs w:val="0"/>
          <w:caps w:val="0"/>
          <w:color w:val="auto"/>
          <w:spacing w:val="0"/>
          <w:sz w:val="32"/>
          <w:szCs w:val="32"/>
          <w:lang w:val="en-US" w:eastAsia="zh-CN"/>
        </w:rPr>
      </w:pPr>
    </w:p>
    <w:p>
      <w:pPr>
        <w:jc w:val="both"/>
        <w:rPr>
          <w:rFonts w:hint="eastAsia" w:ascii="仿宋" w:hAnsi="仿宋" w:eastAsia="仿宋" w:cs="仿宋"/>
          <w:i w:val="0"/>
          <w:iCs w:val="0"/>
          <w:caps w:val="0"/>
          <w:color w:val="auto"/>
          <w:spacing w:val="0"/>
          <w:sz w:val="32"/>
          <w:szCs w:val="32"/>
          <w:u w:val="single"/>
          <w:lang w:val="en-US" w:eastAsia="zh-CN"/>
        </w:rPr>
      </w:pPr>
      <w:r>
        <w:rPr>
          <w:rFonts w:hint="eastAsia" w:ascii="仿宋" w:hAnsi="仿宋" w:eastAsia="仿宋" w:cs="仿宋"/>
          <w:i w:val="0"/>
          <w:iCs w:val="0"/>
          <w:caps w:val="0"/>
          <w:color w:val="auto"/>
          <w:spacing w:val="0"/>
          <w:sz w:val="32"/>
          <w:szCs w:val="32"/>
          <w:u w:val="single"/>
          <w:lang w:val="en-US" w:eastAsia="zh-CN"/>
        </w:rPr>
        <w:t xml:space="preserve">                                                           </w:t>
      </w:r>
    </w:p>
    <w:p>
      <w:pPr>
        <w:jc w:val="both"/>
        <w:rPr>
          <w:rFonts w:hint="eastAsia" w:ascii="仿宋" w:hAnsi="仿宋" w:eastAsia="仿宋" w:cs="仿宋"/>
          <w:i w:val="0"/>
          <w:iCs w:val="0"/>
          <w:caps w:val="0"/>
          <w:color w:val="auto"/>
          <w:spacing w:val="0"/>
          <w:sz w:val="32"/>
          <w:szCs w:val="32"/>
          <w:lang w:val="en-US" w:eastAsia="zh-CN"/>
        </w:rPr>
      </w:pPr>
      <w:r>
        <w:rPr>
          <w:rFonts w:hint="eastAsia" w:ascii="仿宋" w:hAnsi="仿宋" w:eastAsia="仿宋" w:cs="仿宋"/>
          <w:i w:val="0"/>
          <w:iCs w:val="0"/>
          <w:caps w:val="0"/>
          <w:color w:val="auto"/>
          <w:spacing w:val="0"/>
          <w:sz w:val="32"/>
          <w:szCs w:val="32"/>
          <w:lang w:val="en-US" w:eastAsia="zh-CN"/>
        </w:rPr>
        <w:t>抄送：区委依法治区办。</w:t>
      </w:r>
    </w:p>
    <w:p>
      <w:pPr>
        <w:keepNext w:val="0"/>
        <w:keepLines w:val="0"/>
        <w:pageBreakBefore w:val="0"/>
        <w:widowControl w:val="0"/>
        <w:kinsoku/>
        <w:wordWrap/>
        <w:overflowPunct/>
        <w:topLinePunct w:val="0"/>
        <w:autoSpaceDE/>
        <w:autoSpaceDN/>
        <w:bidi w:val="0"/>
        <w:adjustRightInd/>
        <w:snapToGrid/>
        <w:spacing w:line="200" w:lineRule="exact"/>
        <w:jc w:val="both"/>
        <w:textAlignment w:val="auto"/>
        <w:rPr>
          <w:rFonts w:hint="eastAsia" w:ascii="仿宋" w:hAnsi="仿宋" w:eastAsia="仿宋" w:cs="仿宋"/>
          <w:i w:val="0"/>
          <w:iCs w:val="0"/>
          <w:caps w:val="0"/>
          <w:color w:val="auto"/>
          <w:spacing w:val="0"/>
          <w:sz w:val="32"/>
          <w:szCs w:val="32"/>
          <w:u w:val="single"/>
          <w:lang w:val="en-US" w:eastAsia="zh-CN"/>
        </w:rPr>
      </w:pPr>
      <w:r>
        <w:rPr>
          <w:rFonts w:hint="eastAsia" w:ascii="仿宋" w:hAnsi="仿宋" w:eastAsia="仿宋" w:cs="仿宋"/>
          <w:i w:val="0"/>
          <w:iCs w:val="0"/>
          <w:caps w:val="0"/>
          <w:color w:val="auto"/>
          <w:spacing w:val="0"/>
          <w:sz w:val="32"/>
          <w:szCs w:val="32"/>
          <w:u w:val="single"/>
          <w:lang w:val="en-US" w:eastAsia="zh-CN"/>
        </w:rPr>
        <w:t xml:space="preserve">                                                           </w:t>
      </w:r>
    </w:p>
    <w:p>
      <w:pPr>
        <w:bidi w:val="0"/>
        <w:jc w:val="left"/>
        <w:rPr>
          <w:rFonts w:hint="eastAsia"/>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YWI4ZjY2YWE5ZmE4OTI0OWE3NTEwMzRiMWYxYjEifQ=="/>
  </w:docVars>
  <w:rsids>
    <w:rsidRoot w:val="00000000"/>
    <w:rsid w:val="000A6815"/>
    <w:rsid w:val="024672DA"/>
    <w:rsid w:val="057B033E"/>
    <w:rsid w:val="13F52639"/>
    <w:rsid w:val="180B0C93"/>
    <w:rsid w:val="1D227553"/>
    <w:rsid w:val="20E93D2B"/>
    <w:rsid w:val="234C7EBC"/>
    <w:rsid w:val="339F0B88"/>
    <w:rsid w:val="35371379"/>
    <w:rsid w:val="391E0C19"/>
    <w:rsid w:val="3BEC090A"/>
    <w:rsid w:val="3EBF1DD8"/>
    <w:rsid w:val="402A2D34"/>
    <w:rsid w:val="41F36061"/>
    <w:rsid w:val="48F46DF8"/>
    <w:rsid w:val="4E5A4A4B"/>
    <w:rsid w:val="500031A6"/>
    <w:rsid w:val="50587555"/>
    <w:rsid w:val="591D2D5F"/>
    <w:rsid w:val="5FA97752"/>
    <w:rsid w:val="5FDB7C68"/>
    <w:rsid w:val="606E23F2"/>
    <w:rsid w:val="61746667"/>
    <w:rsid w:val="67506EFF"/>
    <w:rsid w:val="68DC308F"/>
    <w:rsid w:val="72DD7F6F"/>
    <w:rsid w:val="72E27A2B"/>
    <w:rsid w:val="76296DE8"/>
    <w:rsid w:val="787E754A"/>
    <w:rsid w:val="7B07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Acetate"/>
    <w:basedOn w:val="1"/>
    <w:next w:val="1"/>
    <w:autoRedefine/>
    <w:qFormat/>
    <w:uiPriority w:val="0"/>
    <w:pPr>
      <w:suppressAutoHyphens/>
      <w:jc w:val="both"/>
      <w:textAlignment w:val="baseline"/>
    </w:pPr>
    <w:rPr>
      <w:rFonts w:ascii="Times New Roman" w:hAnsi="Times New Roman" w:eastAsia="宋体" w:cs="Times New Roman"/>
      <w:kern w:val="2"/>
      <w:sz w:val="18"/>
      <w:szCs w:val="18"/>
      <w:lang w:val="en-US" w:eastAsia="zh-CN" w:bidi="ar-SA"/>
    </w:rPr>
  </w:style>
  <w:style w:type="character" w:customStyle="1" w:styleId="9">
    <w:name w:val="font31"/>
    <w:basedOn w:val="7"/>
    <w:autoRedefine/>
    <w:qFormat/>
    <w:uiPriority w:val="0"/>
    <w:rPr>
      <w:rFonts w:hint="eastAsia" w:ascii="宋体" w:hAnsi="宋体" w:eastAsia="宋体" w:cs="宋体"/>
      <w:b/>
      <w:color w:val="000000"/>
      <w:sz w:val="40"/>
      <w:szCs w:val="40"/>
      <w:u w:val="single"/>
    </w:rPr>
  </w:style>
  <w:style w:type="character" w:customStyle="1" w:styleId="10">
    <w:name w:val="font41"/>
    <w:basedOn w:val="7"/>
    <w:autoRedefine/>
    <w:qFormat/>
    <w:uiPriority w:val="0"/>
    <w:rPr>
      <w:rFonts w:hint="eastAsia" w:ascii="宋体" w:hAnsi="宋体" w:eastAsia="宋体" w:cs="宋体"/>
      <w:b/>
      <w:color w:val="000000"/>
      <w:sz w:val="40"/>
      <w:szCs w:val="40"/>
      <w:u w:val="none"/>
    </w:rPr>
  </w:style>
  <w:style w:type="paragraph" w:customStyle="1" w:styleId="11">
    <w:name w:val="Default"/>
    <w:autoRedefine/>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1532</Words>
  <Characters>1553</Characters>
  <Lines>0</Lines>
  <Paragraphs>0</Paragraphs>
  <TotalTime>2</TotalTime>
  <ScaleCrop>false</ScaleCrop>
  <LinksUpToDate>false</LinksUpToDate>
  <CharactersWithSpaces>1614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2021-01-08T03:02:00Z</dcterms:created>
  <dc:creator>Administrator</dc:creator>
  <cp:lastModifiedBy>WPS_1689905314</cp:lastModifiedBy>
  <cp:lastPrinted>2021-11-02T00:28:00Z</cp:lastPrinted>
  <dcterms:modified xsi:type="dcterms:W3CDTF">2023-12-20T07:43:44Z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662227B50007418E9ED0F66869868948_13</vt:lpwstr>
  </property>
</Properties>
</file>