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DAD8E">
      <w:pP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附件</w:t>
      </w:r>
    </w:p>
    <w:p w14:paraId="44AA6BB5">
      <w:pPr>
        <w:jc w:val="center"/>
        <w:rPr>
          <w:rFonts w:hint="eastAsia" w:ascii="仿宋_GB2312" w:eastAsia="仿宋_GB2312"/>
          <w:b/>
          <w:sz w:val="32"/>
          <w:szCs w:val="32"/>
        </w:rPr>
      </w:pPr>
      <w:r>
        <w:rPr>
          <w:rFonts w:hint="eastAsia" w:ascii="方正小标宋简体" w:hAnsi="方正小标宋简体" w:eastAsia="方正小标宋简体" w:cs="方正小标宋简体"/>
          <w:b w:val="0"/>
          <w:bCs/>
          <w:sz w:val="32"/>
          <w:szCs w:val="32"/>
        </w:rPr>
        <w:t>行政执法事项目录清单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2557"/>
        <w:gridCol w:w="2123"/>
        <w:gridCol w:w="2160"/>
        <w:gridCol w:w="2096"/>
        <w:gridCol w:w="2224"/>
        <w:gridCol w:w="1826"/>
      </w:tblGrid>
      <w:tr w14:paraId="28C6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top"/>
          </w:tcPr>
          <w:p w14:paraId="3585DC0D">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序号</w:t>
            </w:r>
          </w:p>
        </w:tc>
        <w:tc>
          <w:tcPr>
            <w:tcW w:w="2557" w:type="dxa"/>
            <w:noWrap w:val="0"/>
            <w:vAlign w:val="top"/>
          </w:tcPr>
          <w:p w14:paraId="7DAE327B">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事项名称</w:t>
            </w:r>
          </w:p>
        </w:tc>
        <w:tc>
          <w:tcPr>
            <w:tcW w:w="2123" w:type="dxa"/>
            <w:noWrap w:val="0"/>
            <w:vAlign w:val="top"/>
          </w:tcPr>
          <w:p w14:paraId="68ABC3D3">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事项类型</w:t>
            </w:r>
          </w:p>
        </w:tc>
        <w:tc>
          <w:tcPr>
            <w:tcW w:w="2160" w:type="dxa"/>
            <w:noWrap w:val="0"/>
            <w:vAlign w:val="top"/>
          </w:tcPr>
          <w:p w14:paraId="51489688">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执法依据</w:t>
            </w:r>
          </w:p>
        </w:tc>
        <w:tc>
          <w:tcPr>
            <w:tcW w:w="2096" w:type="dxa"/>
            <w:noWrap w:val="0"/>
            <w:vAlign w:val="top"/>
          </w:tcPr>
          <w:p w14:paraId="1B7129F8">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责任主体</w:t>
            </w:r>
          </w:p>
        </w:tc>
        <w:tc>
          <w:tcPr>
            <w:tcW w:w="2224" w:type="dxa"/>
            <w:noWrap w:val="0"/>
            <w:vAlign w:val="top"/>
          </w:tcPr>
          <w:p w14:paraId="2193CE08">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实施主体</w:t>
            </w:r>
          </w:p>
        </w:tc>
        <w:tc>
          <w:tcPr>
            <w:tcW w:w="1826" w:type="dxa"/>
            <w:noWrap w:val="0"/>
            <w:vAlign w:val="top"/>
          </w:tcPr>
          <w:p w14:paraId="157F184E">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备注</w:t>
            </w:r>
          </w:p>
        </w:tc>
      </w:tr>
      <w:tr w14:paraId="41F1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76FFCBC">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6C399BB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对城镇排水与污水处理设施覆盖范围内的排水单位和个人，未按照国家有关规定将污水排入城镇排水设施，或者在雨水、污水分流地区将污水排入雨水管网的处罚</w:t>
            </w:r>
          </w:p>
        </w:tc>
        <w:tc>
          <w:tcPr>
            <w:tcW w:w="2123" w:type="dxa"/>
            <w:shd w:val="clear" w:color="auto" w:fill="auto"/>
            <w:noWrap w:val="0"/>
            <w:vAlign w:val="center"/>
          </w:tcPr>
          <w:p w14:paraId="79A970B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1FDB4992">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《城镇排水与污水处理条例》第四十九条</w:t>
            </w:r>
          </w:p>
          <w:p w14:paraId="643814F1">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《城镇污水排入排水管网许可管理办法》第二十五条、二十七条、第三十条、第三十一条</w:t>
            </w:r>
          </w:p>
          <w:p w14:paraId="32B35952">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4C1A0F1C">
            <w:pPr>
              <w:jc w:val="center"/>
              <w:rPr>
                <w:rFonts w:hint="eastAsia" w:ascii="仿宋_GB2312" w:hAnsi="仿宋_GB2312" w:eastAsia="仿宋_GB2312" w:cs="仿宋_GB2312"/>
                <w:sz w:val="21"/>
                <w:szCs w:val="21"/>
                <w:lang w:val="en-US" w:eastAsia="zh-CN"/>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F30968E">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479EC4B3">
            <w:pPr>
              <w:jc w:val="center"/>
              <w:rPr>
                <w:rFonts w:hint="eastAsia" w:ascii="仿宋_GB2312" w:hAnsi="仿宋_GB2312" w:eastAsia="仿宋_GB2312" w:cs="仿宋_GB2312"/>
                <w:sz w:val="21"/>
                <w:szCs w:val="21"/>
              </w:rPr>
            </w:pPr>
          </w:p>
        </w:tc>
      </w:tr>
      <w:tr w14:paraId="5329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88" w:type="dxa"/>
            <w:noWrap w:val="0"/>
            <w:vAlign w:val="center"/>
          </w:tcPr>
          <w:p w14:paraId="0BFAC3C2">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5AA004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对未在指定的地点分类投放生活垃圾的处罚</w:t>
            </w:r>
          </w:p>
        </w:tc>
        <w:tc>
          <w:tcPr>
            <w:tcW w:w="2123" w:type="dxa"/>
            <w:shd w:val="clear" w:color="auto" w:fill="auto"/>
            <w:noWrap w:val="0"/>
            <w:vAlign w:val="center"/>
          </w:tcPr>
          <w:p w14:paraId="5BCE649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CE6A022">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《中华人民共和国固体废物污染环境防治法》第一百一十一条第三款</w:t>
            </w:r>
          </w:p>
          <w:p w14:paraId="16B925C8">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090F8B0C">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135CB3D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56473D23">
            <w:pPr>
              <w:jc w:val="center"/>
              <w:rPr>
                <w:rFonts w:hint="eastAsia" w:ascii="仿宋_GB2312" w:hAnsi="仿宋_GB2312" w:eastAsia="仿宋_GB2312" w:cs="仿宋_GB2312"/>
                <w:sz w:val="21"/>
                <w:szCs w:val="21"/>
              </w:rPr>
            </w:pPr>
          </w:p>
        </w:tc>
      </w:tr>
      <w:tr w14:paraId="79AB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A419923">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08E69E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对未将收集的城市生活垃圾运到直辖市、市、县人民政府建设（环境卫生）主管部门认可的处理场所的处罚</w:t>
            </w:r>
          </w:p>
        </w:tc>
        <w:tc>
          <w:tcPr>
            <w:tcW w:w="2123" w:type="dxa"/>
            <w:shd w:val="clear" w:color="auto" w:fill="auto"/>
            <w:noWrap w:val="0"/>
            <w:vAlign w:val="center"/>
          </w:tcPr>
          <w:p w14:paraId="2ED80D9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1CA80D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《城市生活垃圾管理办法》第四十五条</w:t>
            </w:r>
          </w:p>
        </w:tc>
        <w:tc>
          <w:tcPr>
            <w:tcW w:w="2096" w:type="dxa"/>
            <w:noWrap w:val="0"/>
            <w:vAlign w:val="center"/>
          </w:tcPr>
          <w:p w14:paraId="7C1B26C2">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52DB9669">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0B40CAE">
            <w:pPr>
              <w:jc w:val="center"/>
              <w:rPr>
                <w:rFonts w:hint="eastAsia" w:ascii="仿宋_GB2312" w:hAnsi="仿宋_GB2312" w:eastAsia="仿宋_GB2312" w:cs="仿宋_GB2312"/>
                <w:sz w:val="21"/>
                <w:szCs w:val="21"/>
              </w:rPr>
            </w:pPr>
          </w:p>
        </w:tc>
      </w:tr>
      <w:tr w14:paraId="74F2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1A0ABD02">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702D34D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对未将生活垃圾分类投放到指定收集点的收集容器内，随意倾倒、抛撒、焚烧或者堆放生活垃圾的处罚</w:t>
            </w:r>
          </w:p>
        </w:tc>
        <w:tc>
          <w:tcPr>
            <w:tcW w:w="2123" w:type="dxa"/>
            <w:shd w:val="clear" w:color="auto" w:fill="auto"/>
            <w:noWrap w:val="0"/>
            <w:vAlign w:val="center"/>
          </w:tcPr>
          <w:p w14:paraId="0B5C525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31D042DE">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《福建省城乡生活垃圾管理条例》第六十四条</w:t>
            </w:r>
          </w:p>
          <w:p w14:paraId="3FF6F09B">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《中华人民共和国固体废物污染环境防治法》第一百一十一条第一款第（一）项</w:t>
            </w:r>
          </w:p>
          <w:p w14:paraId="29E2A23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《城市生活垃圾管理办法》第四十四条</w:t>
            </w:r>
          </w:p>
        </w:tc>
        <w:tc>
          <w:tcPr>
            <w:tcW w:w="2096" w:type="dxa"/>
            <w:noWrap w:val="0"/>
            <w:vAlign w:val="center"/>
          </w:tcPr>
          <w:p w14:paraId="00F759C5">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590DEA84">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56F6472">
            <w:pPr>
              <w:jc w:val="center"/>
              <w:rPr>
                <w:rFonts w:hint="eastAsia" w:ascii="仿宋_GB2312" w:hAnsi="仿宋_GB2312" w:eastAsia="仿宋_GB2312" w:cs="仿宋_GB2312"/>
                <w:sz w:val="21"/>
                <w:szCs w:val="21"/>
              </w:rPr>
            </w:pPr>
          </w:p>
        </w:tc>
      </w:tr>
      <w:tr w14:paraId="2885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4A69A48C">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0664EF3">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对将易腐垃圾直接排入公共水域、厕所、市政管道或者混入其他类型生活垃圾的处罚</w:t>
            </w:r>
          </w:p>
        </w:tc>
        <w:tc>
          <w:tcPr>
            <w:tcW w:w="2123" w:type="dxa"/>
            <w:shd w:val="clear" w:color="auto" w:fill="auto"/>
            <w:noWrap w:val="0"/>
            <w:vAlign w:val="center"/>
          </w:tcPr>
          <w:p w14:paraId="2960D59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7A8E1926">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《福建省城乡生活垃圾管理条例》第六十五条第二款</w:t>
            </w:r>
          </w:p>
          <w:p w14:paraId="7DFC49F1">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6EB7DDB0">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6582D186">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28FC782C">
            <w:pPr>
              <w:jc w:val="center"/>
              <w:rPr>
                <w:rFonts w:hint="eastAsia" w:ascii="仿宋_GB2312" w:hAnsi="仿宋_GB2312" w:eastAsia="仿宋_GB2312" w:cs="仿宋_GB2312"/>
                <w:sz w:val="21"/>
                <w:szCs w:val="21"/>
              </w:rPr>
            </w:pPr>
          </w:p>
        </w:tc>
      </w:tr>
      <w:tr w14:paraId="30A8F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44370EEA">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01062FB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对未将大件废弃家具投放到指定的地点或者交由收集、运输单位处理的处罚</w:t>
            </w:r>
          </w:p>
        </w:tc>
        <w:tc>
          <w:tcPr>
            <w:tcW w:w="2123" w:type="dxa"/>
            <w:shd w:val="clear" w:color="auto" w:fill="auto"/>
            <w:noWrap w:val="0"/>
            <w:vAlign w:val="center"/>
          </w:tcPr>
          <w:p w14:paraId="1BC83C6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01C9D2E">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《福建省城乡生活垃圾管理条例》第六十六条</w:t>
            </w:r>
          </w:p>
          <w:p w14:paraId="25A26AB9">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45C9BF70">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6DCAD6E4">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175D4894">
            <w:pPr>
              <w:jc w:val="center"/>
              <w:rPr>
                <w:rFonts w:hint="eastAsia" w:ascii="仿宋_GB2312" w:hAnsi="仿宋_GB2312" w:eastAsia="仿宋_GB2312" w:cs="仿宋_GB2312"/>
                <w:sz w:val="21"/>
                <w:szCs w:val="21"/>
              </w:rPr>
            </w:pPr>
          </w:p>
        </w:tc>
      </w:tr>
      <w:tr w14:paraId="221C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28FB63B">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2ABF5F7">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对将危险废物混入建筑垃圾的处罚</w:t>
            </w:r>
          </w:p>
        </w:tc>
        <w:tc>
          <w:tcPr>
            <w:tcW w:w="2123" w:type="dxa"/>
            <w:shd w:val="clear" w:color="auto" w:fill="auto"/>
            <w:noWrap w:val="0"/>
            <w:vAlign w:val="center"/>
          </w:tcPr>
          <w:p w14:paraId="2D2830D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6F2F9E0">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《城市建筑垃圾管理规定》第二十条</w:t>
            </w:r>
          </w:p>
          <w:p w14:paraId="42A81E79">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798DA78D">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4DCDE364">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122F4988">
            <w:pPr>
              <w:jc w:val="center"/>
              <w:rPr>
                <w:rFonts w:hint="eastAsia" w:ascii="仿宋_GB2312" w:hAnsi="仿宋_GB2312" w:eastAsia="仿宋_GB2312" w:cs="仿宋_GB2312"/>
                <w:sz w:val="21"/>
                <w:szCs w:val="21"/>
              </w:rPr>
            </w:pPr>
          </w:p>
        </w:tc>
      </w:tr>
      <w:tr w14:paraId="6471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225B5F8">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3DAE253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对施工单位将建筑垃圾交给个人或者未经核准从事建筑垃圾运输的单位处置的处罚</w:t>
            </w:r>
          </w:p>
        </w:tc>
        <w:tc>
          <w:tcPr>
            <w:tcW w:w="2123" w:type="dxa"/>
            <w:shd w:val="clear" w:color="auto" w:fill="auto"/>
            <w:noWrap w:val="0"/>
            <w:vAlign w:val="center"/>
          </w:tcPr>
          <w:p w14:paraId="05C4096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D2976BF">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《城市建筑垃圾管理规定》第二十二条</w:t>
            </w:r>
          </w:p>
          <w:p w14:paraId="124DCCF8">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6DDE3BA9">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594D839">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3C2A1CE">
            <w:pPr>
              <w:jc w:val="center"/>
              <w:rPr>
                <w:rFonts w:hint="eastAsia" w:ascii="仿宋_GB2312" w:hAnsi="仿宋_GB2312" w:eastAsia="仿宋_GB2312" w:cs="仿宋_GB2312"/>
                <w:sz w:val="21"/>
                <w:szCs w:val="21"/>
              </w:rPr>
            </w:pPr>
          </w:p>
        </w:tc>
      </w:tr>
      <w:tr w14:paraId="74D1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16F34BCC">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5BE098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对未经核准擅自处置建筑垃圾的处罚</w:t>
            </w:r>
          </w:p>
        </w:tc>
        <w:tc>
          <w:tcPr>
            <w:tcW w:w="2123" w:type="dxa"/>
            <w:shd w:val="clear" w:color="auto" w:fill="auto"/>
            <w:noWrap w:val="0"/>
            <w:vAlign w:val="center"/>
          </w:tcPr>
          <w:p w14:paraId="7956A4A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B3D3847">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《城市建筑垃圾管理规定》第二十五条</w:t>
            </w:r>
          </w:p>
          <w:p w14:paraId="5A77FCC3">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《中华人民共和国固体废物污染环境防治法》第一百一十一条第一款第（三）项</w:t>
            </w:r>
          </w:p>
          <w:p w14:paraId="64EC2001">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6C8E66DB">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5732E9D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69D5EA18">
            <w:pPr>
              <w:jc w:val="center"/>
              <w:rPr>
                <w:rFonts w:hint="eastAsia" w:ascii="仿宋_GB2312" w:hAnsi="仿宋_GB2312" w:eastAsia="仿宋_GB2312" w:cs="仿宋_GB2312"/>
                <w:sz w:val="21"/>
                <w:szCs w:val="21"/>
              </w:rPr>
            </w:pPr>
          </w:p>
        </w:tc>
      </w:tr>
      <w:tr w14:paraId="26F5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3252A8F4">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68A6C42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对处置超出核准范围的建筑垃圾的处罚</w:t>
            </w:r>
          </w:p>
        </w:tc>
        <w:tc>
          <w:tcPr>
            <w:tcW w:w="2123" w:type="dxa"/>
            <w:shd w:val="clear" w:color="auto" w:fill="auto"/>
            <w:noWrap w:val="0"/>
            <w:vAlign w:val="center"/>
          </w:tcPr>
          <w:p w14:paraId="027745D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2109C00E">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《城市建筑垃圾管理规定》第二十五条</w:t>
            </w:r>
          </w:p>
          <w:p w14:paraId="11D7A5CB">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4DA4A49B">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04F1F776">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16E71FD4">
            <w:pPr>
              <w:jc w:val="center"/>
              <w:rPr>
                <w:rFonts w:hint="eastAsia" w:ascii="仿宋_GB2312" w:hAnsi="仿宋_GB2312" w:eastAsia="仿宋_GB2312" w:cs="仿宋_GB2312"/>
                <w:sz w:val="21"/>
                <w:szCs w:val="21"/>
              </w:rPr>
            </w:pPr>
          </w:p>
        </w:tc>
      </w:tr>
      <w:tr w14:paraId="3483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8BC5AB6">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BE2634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对乱倒垃圾、粪便、污水，随地便溺、焚烧树叶或垃圾的处罚</w:t>
            </w:r>
          </w:p>
        </w:tc>
        <w:tc>
          <w:tcPr>
            <w:tcW w:w="2123" w:type="dxa"/>
            <w:shd w:val="clear" w:color="auto" w:fill="auto"/>
            <w:noWrap w:val="0"/>
            <w:vAlign w:val="center"/>
          </w:tcPr>
          <w:p w14:paraId="5F4ECBB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BF68B7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《福建省城市市容和环境卫生管理办法》第三十条第（二）项</w:t>
            </w:r>
          </w:p>
        </w:tc>
        <w:tc>
          <w:tcPr>
            <w:tcW w:w="2096" w:type="dxa"/>
            <w:noWrap w:val="0"/>
            <w:vAlign w:val="center"/>
          </w:tcPr>
          <w:p w14:paraId="2171B53F">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25707081">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2A5B02F4">
            <w:pPr>
              <w:jc w:val="center"/>
              <w:rPr>
                <w:rFonts w:hint="eastAsia" w:ascii="仿宋_GB2312" w:hAnsi="仿宋_GB2312" w:eastAsia="仿宋_GB2312" w:cs="仿宋_GB2312"/>
                <w:sz w:val="21"/>
                <w:szCs w:val="21"/>
              </w:rPr>
            </w:pPr>
          </w:p>
        </w:tc>
      </w:tr>
      <w:tr w14:paraId="2C26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B649E32">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606B3DF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对擅自占道摆摊设点、堆放物料，或从事其它生产、经营活动的处罚</w:t>
            </w:r>
          </w:p>
        </w:tc>
        <w:tc>
          <w:tcPr>
            <w:tcW w:w="2123" w:type="dxa"/>
            <w:shd w:val="clear" w:color="auto" w:fill="auto"/>
            <w:noWrap w:val="0"/>
            <w:vAlign w:val="center"/>
          </w:tcPr>
          <w:p w14:paraId="45B4037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CA1321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《福建省城市市容和环境卫生管理办法》第三十条第（三）项</w:t>
            </w:r>
          </w:p>
        </w:tc>
        <w:tc>
          <w:tcPr>
            <w:tcW w:w="2096" w:type="dxa"/>
            <w:noWrap w:val="0"/>
            <w:vAlign w:val="center"/>
          </w:tcPr>
          <w:p w14:paraId="3A277152">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458CB8D1">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749754A9">
            <w:pPr>
              <w:jc w:val="center"/>
              <w:rPr>
                <w:rFonts w:hint="eastAsia" w:ascii="仿宋_GB2312" w:hAnsi="仿宋_GB2312" w:eastAsia="仿宋_GB2312" w:cs="仿宋_GB2312"/>
                <w:sz w:val="21"/>
                <w:szCs w:val="21"/>
              </w:rPr>
            </w:pPr>
          </w:p>
        </w:tc>
      </w:tr>
      <w:tr w14:paraId="16A1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3918CBF">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3C09235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对炉口、烟囱等排污口朝向街面的处罚</w:t>
            </w:r>
          </w:p>
        </w:tc>
        <w:tc>
          <w:tcPr>
            <w:tcW w:w="2123" w:type="dxa"/>
            <w:shd w:val="clear" w:color="auto" w:fill="auto"/>
            <w:noWrap w:val="0"/>
            <w:vAlign w:val="center"/>
          </w:tcPr>
          <w:p w14:paraId="29D7953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34C1886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《福建省城市市容和环境卫生管理办法》第三十条第（三）项</w:t>
            </w:r>
          </w:p>
        </w:tc>
        <w:tc>
          <w:tcPr>
            <w:tcW w:w="2096" w:type="dxa"/>
            <w:noWrap w:val="0"/>
            <w:vAlign w:val="center"/>
          </w:tcPr>
          <w:p w14:paraId="09517ACE">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D25EABF">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16113CE3">
            <w:pPr>
              <w:jc w:val="center"/>
              <w:rPr>
                <w:rFonts w:hint="eastAsia" w:ascii="仿宋_GB2312" w:hAnsi="仿宋_GB2312" w:eastAsia="仿宋_GB2312" w:cs="仿宋_GB2312"/>
                <w:sz w:val="21"/>
                <w:szCs w:val="21"/>
              </w:rPr>
            </w:pPr>
          </w:p>
        </w:tc>
      </w:tr>
      <w:tr w14:paraId="098D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58E6C99">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D4C79F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对未经批准移植或非正常修剪树木的处罚</w:t>
            </w:r>
          </w:p>
        </w:tc>
        <w:tc>
          <w:tcPr>
            <w:tcW w:w="2123" w:type="dxa"/>
            <w:shd w:val="clear" w:color="auto" w:fill="auto"/>
            <w:noWrap w:val="0"/>
            <w:vAlign w:val="center"/>
          </w:tcPr>
          <w:p w14:paraId="0EDB5E1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36D61E7C">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《福建省城市园林绿化管理条例》第二十五条第（五）项</w:t>
            </w:r>
          </w:p>
          <w:p w14:paraId="4B292561">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773AB6FF">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49744519">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4303C14">
            <w:pPr>
              <w:jc w:val="center"/>
              <w:rPr>
                <w:rFonts w:hint="eastAsia" w:ascii="仿宋_GB2312" w:hAnsi="仿宋_GB2312" w:eastAsia="仿宋_GB2312" w:cs="仿宋_GB2312"/>
                <w:sz w:val="21"/>
                <w:szCs w:val="21"/>
              </w:rPr>
            </w:pPr>
          </w:p>
        </w:tc>
      </w:tr>
      <w:tr w14:paraId="2773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3474E33">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272A6AC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对未经批准砍伐或因移植、非正常修剪树木造成死亡的处罚</w:t>
            </w:r>
          </w:p>
        </w:tc>
        <w:tc>
          <w:tcPr>
            <w:tcW w:w="2123" w:type="dxa"/>
            <w:shd w:val="clear" w:color="auto" w:fill="auto"/>
            <w:noWrap w:val="0"/>
            <w:vAlign w:val="center"/>
          </w:tcPr>
          <w:p w14:paraId="68C94AB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B0C8A2F">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《福建省城市园林绿化管理条例》第二十五条第（六）项</w:t>
            </w:r>
          </w:p>
          <w:p w14:paraId="3E96AA24">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1E75CDC6">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180878ED">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5DD87522">
            <w:pPr>
              <w:jc w:val="center"/>
              <w:rPr>
                <w:rFonts w:hint="eastAsia" w:ascii="仿宋_GB2312" w:hAnsi="仿宋_GB2312" w:eastAsia="仿宋_GB2312" w:cs="仿宋_GB2312"/>
                <w:sz w:val="21"/>
                <w:szCs w:val="21"/>
              </w:rPr>
            </w:pPr>
          </w:p>
        </w:tc>
      </w:tr>
      <w:tr w14:paraId="0B84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81AEBB3">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86A969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对损坏草坪、花坛和绿篱的处罚</w:t>
            </w:r>
          </w:p>
        </w:tc>
        <w:tc>
          <w:tcPr>
            <w:tcW w:w="2123" w:type="dxa"/>
            <w:shd w:val="clear" w:color="auto" w:fill="auto"/>
            <w:noWrap w:val="0"/>
            <w:vAlign w:val="center"/>
          </w:tcPr>
          <w:p w14:paraId="6A5A24A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1D19C5BC">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《福建省城市园林绿化管理条例》第二十五条第（七）项</w:t>
            </w:r>
          </w:p>
          <w:p w14:paraId="2871FBB3">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24871A37">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08946EBE">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62EA8DF9">
            <w:pPr>
              <w:jc w:val="center"/>
              <w:rPr>
                <w:rFonts w:hint="eastAsia" w:ascii="仿宋_GB2312" w:hAnsi="仿宋_GB2312" w:eastAsia="仿宋_GB2312" w:cs="仿宋_GB2312"/>
                <w:sz w:val="21"/>
                <w:szCs w:val="21"/>
              </w:rPr>
            </w:pPr>
          </w:p>
        </w:tc>
      </w:tr>
      <w:tr w14:paraId="328D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7F2F980">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203FE7F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对在公共绿地和风景林地内倾倒废弃物、放牧、采石、挖土和其他有害绿地的行为处罚</w:t>
            </w:r>
          </w:p>
        </w:tc>
        <w:tc>
          <w:tcPr>
            <w:tcW w:w="2123" w:type="dxa"/>
            <w:shd w:val="clear" w:color="auto" w:fill="auto"/>
            <w:noWrap w:val="0"/>
            <w:vAlign w:val="center"/>
          </w:tcPr>
          <w:p w14:paraId="2CF9D6B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B3DEA98">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《福建省城市园林绿化管理条例》第二十五条第（七）项</w:t>
            </w:r>
          </w:p>
          <w:p w14:paraId="324259C2">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3438B10C">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C0B0A2B">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4D2E66F2">
            <w:pPr>
              <w:jc w:val="center"/>
              <w:rPr>
                <w:rFonts w:hint="eastAsia" w:ascii="仿宋_GB2312" w:hAnsi="仿宋_GB2312" w:eastAsia="仿宋_GB2312" w:cs="仿宋_GB2312"/>
                <w:sz w:val="21"/>
                <w:szCs w:val="21"/>
              </w:rPr>
            </w:pPr>
          </w:p>
        </w:tc>
      </w:tr>
      <w:tr w14:paraId="3C3A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3ECC484">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2ABC8A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对新建的建筑物、构筑物的主体结构质量不合格进行装修的处罚(限于已交付使用的住宅和施工许可限额以下的公共建筑装饰装修工程)</w:t>
            </w:r>
          </w:p>
        </w:tc>
        <w:tc>
          <w:tcPr>
            <w:tcW w:w="2123" w:type="dxa"/>
            <w:shd w:val="clear" w:color="auto" w:fill="auto"/>
            <w:noWrap w:val="0"/>
            <w:vAlign w:val="center"/>
          </w:tcPr>
          <w:p w14:paraId="70C9952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99D9413">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《福建省建筑装修管理暂行办法》第三十六条</w:t>
            </w:r>
          </w:p>
          <w:p w14:paraId="0287798F">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65E13105">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BDDA484">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B50EDF1">
            <w:pPr>
              <w:jc w:val="center"/>
              <w:rPr>
                <w:rFonts w:hint="eastAsia" w:ascii="仿宋_GB2312" w:hAnsi="仿宋_GB2312" w:eastAsia="仿宋_GB2312" w:cs="仿宋_GB2312"/>
                <w:sz w:val="21"/>
                <w:szCs w:val="21"/>
              </w:rPr>
            </w:pPr>
          </w:p>
        </w:tc>
      </w:tr>
      <w:tr w14:paraId="183B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169A3C82">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64C7F15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对原有的建筑物、构筑物存在结构安全隐患进行装修的处罚(限于已交付使用的住宅和施工许可限额以下的公共建筑装饰装修工程)</w:t>
            </w:r>
          </w:p>
        </w:tc>
        <w:tc>
          <w:tcPr>
            <w:tcW w:w="2123" w:type="dxa"/>
            <w:shd w:val="clear" w:color="auto" w:fill="auto"/>
            <w:noWrap w:val="0"/>
            <w:vAlign w:val="center"/>
          </w:tcPr>
          <w:p w14:paraId="0807235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79C34F47">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《福建省建筑装修管理暂行办法》第三十六条</w:t>
            </w:r>
          </w:p>
          <w:p w14:paraId="02067E2C">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648D6F93">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22542FC8">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601F5F1">
            <w:pPr>
              <w:jc w:val="center"/>
              <w:rPr>
                <w:rFonts w:hint="eastAsia" w:ascii="仿宋_GB2312" w:hAnsi="仿宋_GB2312" w:eastAsia="仿宋_GB2312" w:cs="仿宋_GB2312"/>
                <w:sz w:val="21"/>
                <w:szCs w:val="21"/>
              </w:rPr>
            </w:pPr>
          </w:p>
        </w:tc>
      </w:tr>
      <w:tr w14:paraId="43E9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19AE599C">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6AB3E54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对在装修活动中，损坏房屋原有节能设施或者降低节能效果的处罚(限于已交付使用的住宅和施工许可限额以下的公共建筑装饰装修工程)</w:t>
            </w:r>
          </w:p>
        </w:tc>
        <w:tc>
          <w:tcPr>
            <w:tcW w:w="2123" w:type="dxa"/>
            <w:shd w:val="clear" w:color="auto" w:fill="auto"/>
            <w:noWrap w:val="0"/>
            <w:vAlign w:val="center"/>
          </w:tcPr>
          <w:p w14:paraId="76FD81B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8200C89">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《福建省建筑装修管理暂行办法》第三十七条</w:t>
            </w:r>
          </w:p>
          <w:p w14:paraId="5DA8AE21">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《住宅室内装饰装修管理办法》第三十八条第（二）项</w:t>
            </w:r>
          </w:p>
          <w:p w14:paraId="35FC103F">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26148820">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46AF4BBB">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BC3A359">
            <w:pPr>
              <w:jc w:val="center"/>
              <w:rPr>
                <w:rFonts w:hint="eastAsia" w:ascii="仿宋_GB2312" w:hAnsi="仿宋_GB2312" w:eastAsia="仿宋_GB2312" w:cs="仿宋_GB2312"/>
                <w:sz w:val="21"/>
                <w:szCs w:val="21"/>
              </w:rPr>
            </w:pPr>
          </w:p>
        </w:tc>
      </w:tr>
      <w:tr w14:paraId="5E7C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987F3ED">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0834F34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对在装修活动中，自行拆卸、改装管道燃气设施的处罚(限于已交付使用的住宅和施工许可限额以下的公共建筑装饰装修工程)</w:t>
            </w:r>
          </w:p>
        </w:tc>
        <w:tc>
          <w:tcPr>
            <w:tcW w:w="2123" w:type="dxa"/>
            <w:shd w:val="clear" w:color="auto" w:fill="auto"/>
            <w:noWrap w:val="0"/>
            <w:vAlign w:val="center"/>
          </w:tcPr>
          <w:p w14:paraId="1317CC3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B531E68">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《福建省建筑装修管理暂行办法》第三十七条</w:t>
            </w:r>
          </w:p>
          <w:p w14:paraId="0FB645DB">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0002AC67">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57CC38B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40115E64">
            <w:pPr>
              <w:jc w:val="center"/>
              <w:rPr>
                <w:rFonts w:hint="eastAsia" w:ascii="仿宋_GB2312" w:hAnsi="仿宋_GB2312" w:eastAsia="仿宋_GB2312" w:cs="仿宋_GB2312"/>
                <w:sz w:val="21"/>
                <w:szCs w:val="21"/>
              </w:rPr>
            </w:pPr>
          </w:p>
        </w:tc>
      </w:tr>
      <w:tr w14:paraId="1E49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32B27A78">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9DD89D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对将未经室内空气质量检测或者经检测不合格的建筑物交付使用的处罚(限于已交付使用的住宅和施工许可限额以下的公共建筑装饰装修工程)</w:t>
            </w:r>
          </w:p>
        </w:tc>
        <w:tc>
          <w:tcPr>
            <w:tcW w:w="2123" w:type="dxa"/>
            <w:shd w:val="clear" w:color="auto" w:fill="auto"/>
            <w:noWrap w:val="0"/>
            <w:vAlign w:val="center"/>
          </w:tcPr>
          <w:p w14:paraId="4B2E299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6489B73">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《福建省建筑装修管理暂行办法》第三十八条</w:t>
            </w:r>
          </w:p>
          <w:p w14:paraId="63604CF4">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31A0BAE2">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7455E48">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72BC6842">
            <w:pPr>
              <w:jc w:val="center"/>
              <w:rPr>
                <w:rFonts w:hint="eastAsia" w:ascii="仿宋_GB2312" w:hAnsi="仿宋_GB2312" w:eastAsia="仿宋_GB2312" w:cs="仿宋_GB2312"/>
                <w:sz w:val="21"/>
                <w:szCs w:val="21"/>
              </w:rPr>
            </w:pPr>
          </w:p>
        </w:tc>
      </w:tr>
      <w:tr w14:paraId="0AB2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9FB384C">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6DAEF68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对出租违反规定改变房屋使用性质房屋的处罚</w:t>
            </w:r>
          </w:p>
        </w:tc>
        <w:tc>
          <w:tcPr>
            <w:tcW w:w="2123" w:type="dxa"/>
            <w:shd w:val="clear" w:color="auto" w:fill="auto"/>
            <w:noWrap w:val="0"/>
            <w:vAlign w:val="center"/>
          </w:tcPr>
          <w:p w14:paraId="15488A5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9F64DA1">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《商品房屋租赁管理办法》第二十一条</w:t>
            </w:r>
          </w:p>
          <w:p w14:paraId="60C14373">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7C8C5458">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4D9DC2A6">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57DB251A">
            <w:pPr>
              <w:jc w:val="center"/>
              <w:rPr>
                <w:rFonts w:hint="eastAsia" w:ascii="仿宋_GB2312" w:hAnsi="仿宋_GB2312" w:eastAsia="仿宋_GB2312" w:cs="仿宋_GB2312"/>
                <w:sz w:val="21"/>
                <w:szCs w:val="21"/>
              </w:rPr>
            </w:pPr>
          </w:p>
        </w:tc>
      </w:tr>
      <w:tr w14:paraId="57CE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136DEF19">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307853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对出租住房的，未以原设计的房间为最小出租单位，人均租住建筑面积低于当地人民政府规定的最低标准，限期内未改正的处罚</w:t>
            </w:r>
          </w:p>
        </w:tc>
        <w:tc>
          <w:tcPr>
            <w:tcW w:w="2123" w:type="dxa"/>
            <w:shd w:val="clear" w:color="auto" w:fill="auto"/>
            <w:noWrap w:val="0"/>
            <w:vAlign w:val="center"/>
          </w:tcPr>
          <w:p w14:paraId="34E80A8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B306449">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《商品房屋租赁管理办法》第二十二条</w:t>
            </w:r>
          </w:p>
          <w:p w14:paraId="0EDE396E">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2A426685">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2DD4490B">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28268B8A">
            <w:pPr>
              <w:jc w:val="center"/>
              <w:rPr>
                <w:rFonts w:hint="eastAsia" w:ascii="仿宋_GB2312" w:hAnsi="仿宋_GB2312" w:eastAsia="仿宋_GB2312" w:cs="仿宋_GB2312"/>
                <w:sz w:val="21"/>
                <w:szCs w:val="21"/>
              </w:rPr>
            </w:pPr>
          </w:p>
        </w:tc>
      </w:tr>
      <w:tr w14:paraId="0569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F1418DB">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3234BC5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对厨房、卫生间、阳台和地下储藏室出租供人员居住，限期内未改正的处罚</w:t>
            </w:r>
          </w:p>
        </w:tc>
        <w:tc>
          <w:tcPr>
            <w:tcW w:w="2123" w:type="dxa"/>
            <w:shd w:val="clear" w:color="auto" w:fill="auto"/>
            <w:noWrap w:val="0"/>
            <w:vAlign w:val="center"/>
          </w:tcPr>
          <w:p w14:paraId="0882A43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4E73411">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《商品房屋租赁管理办法》第二十二条</w:t>
            </w:r>
          </w:p>
          <w:p w14:paraId="52BAE94A">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655F7207">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E8C20D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79F5EE0D">
            <w:pPr>
              <w:jc w:val="center"/>
              <w:rPr>
                <w:rFonts w:hint="eastAsia" w:ascii="仿宋_GB2312" w:hAnsi="仿宋_GB2312" w:eastAsia="仿宋_GB2312" w:cs="仿宋_GB2312"/>
                <w:sz w:val="21"/>
                <w:szCs w:val="21"/>
              </w:rPr>
            </w:pPr>
          </w:p>
        </w:tc>
      </w:tr>
      <w:tr w14:paraId="4E32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0AE3F79">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7EFCE76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对市场主体未按规定将营业执照置于住所（主要经营场所、经营场所）醒目位置的，拒不改正的处罚</w:t>
            </w:r>
          </w:p>
        </w:tc>
        <w:tc>
          <w:tcPr>
            <w:tcW w:w="2123" w:type="dxa"/>
            <w:shd w:val="clear" w:color="auto" w:fill="auto"/>
            <w:noWrap w:val="0"/>
            <w:vAlign w:val="center"/>
          </w:tcPr>
          <w:p w14:paraId="0B6CA50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4DCF498">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《中华人民共和国市场主体登记管理条例》、《中华人民共和国市场主体登记管理条例实施细则》</w:t>
            </w:r>
          </w:p>
          <w:p w14:paraId="483A79AA">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29484933">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233999B7">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78AF2F8">
            <w:pPr>
              <w:jc w:val="center"/>
              <w:rPr>
                <w:rFonts w:hint="eastAsia" w:ascii="仿宋_GB2312" w:hAnsi="仿宋_GB2312" w:eastAsia="仿宋_GB2312" w:cs="仿宋_GB2312"/>
                <w:sz w:val="21"/>
                <w:szCs w:val="21"/>
              </w:rPr>
            </w:pPr>
          </w:p>
        </w:tc>
      </w:tr>
      <w:tr w14:paraId="59C0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826BA87">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2FC8BBB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对食品摊贩采购食品、食品添加剂、食品相关产品未索取并留存进货凭证，凭证保存期限少于三十日的处罚</w:t>
            </w:r>
          </w:p>
        </w:tc>
        <w:tc>
          <w:tcPr>
            <w:tcW w:w="2123" w:type="dxa"/>
            <w:shd w:val="clear" w:color="auto" w:fill="auto"/>
            <w:noWrap w:val="0"/>
            <w:vAlign w:val="center"/>
          </w:tcPr>
          <w:p w14:paraId="32DA66A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E39186E">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《福建省食品安全条例》第六十四条、第一百一十一条</w:t>
            </w:r>
          </w:p>
          <w:p w14:paraId="389C1122">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799C84BA">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12D13C4">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29C3AE2">
            <w:pPr>
              <w:jc w:val="center"/>
              <w:rPr>
                <w:rFonts w:hint="eastAsia" w:ascii="仿宋_GB2312" w:hAnsi="仿宋_GB2312" w:eastAsia="仿宋_GB2312" w:cs="仿宋_GB2312"/>
                <w:sz w:val="21"/>
                <w:szCs w:val="21"/>
              </w:rPr>
            </w:pPr>
          </w:p>
        </w:tc>
      </w:tr>
      <w:tr w14:paraId="608E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66B08C1">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3379E86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对小餐饮未取得登记证书的处罚</w:t>
            </w:r>
          </w:p>
        </w:tc>
        <w:tc>
          <w:tcPr>
            <w:tcW w:w="2123" w:type="dxa"/>
            <w:shd w:val="clear" w:color="auto" w:fill="auto"/>
            <w:noWrap w:val="0"/>
            <w:vAlign w:val="center"/>
          </w:tcPr>
          <w:p w14:paraId="6F8FD56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4D14529">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《福建省食品安全条例》第六十七条、第一百一十二条</w:t>
            </w:r>
          </w:p>
          <w:p w14:paraId="43C4FFF9">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109A277A">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3D05CD6">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4A8246D">
            <w:pPr>
              <w:jc w:val="center"/>
              <w:rPr>
                <w:rFonts w:hint="eastAsia" w:ascii="仿宋_GB2312" w:hAnsi="仿宋_GB2312" w:eastAsia="仿宋_GB2312" w:cs="仿宋_GB2312"/>
                <w:sz w:val="21"/>
                <w:szCs w:val="21"/>
              </w:rPr>
            </w:pPr>
          </w:p>
        </w:tc>
      </w:tr>
      <w:tr w14:paraId="29A0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346E22C">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2420651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对从事加工制作、传菜等接触直接入口食品工作的餐饮服务从业人员在工作时未规范佩戴口罩行为的处罚</w:t>
            </w:r>
          </w:p>
        </w:tc>
        <w:tc>
          <w:tcPr>
            <w:tcW w:w="2123" w:type="dxa"/>
            <w:shd w:val="clear" w:color="auto" w:fill="auto"/>
            <w:noWrap w:val="0"/>
            <w:vAlign w:val="center"/>
          </w:tcPr>
          <w:p w14:paraId="642437B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3EBE395F">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《福建省餐饮服务从业人员佩戴口罩的规定》第一点、第三点</w:t>
            </w:r>
          </w:p>
          <w:p w14:paraId="5C5F818C">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4E4EB861">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27FC4CBE">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6F1064C4">
            <w:pPr>
              <w:jc w:val="center"/>
              <w:rPr>
                <w:rFonts w:hint="eastAsia" w:ascii="仿宋_GB2312" w:hAnsi="仿宋_GB2312" w:eastAsia="仿宋_GB2312" w:cs="仿宋_GB2312"/>
                <w:sz w:val="21"/>
                <w:szCs w:val="21"/>
              </w:rPr>
            </w:pPr>
          </w:p>
        </w:tc>
      </w:tr>
      <w:tr w14:paraId="0ADE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CEF0C35">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B172963">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对餐饮服务经营者未主动对消费者进行防止食品浪费提示提醒的的处罚</w:t>
            </w:r>
          </w:p>
        </w:tc>
        <w:tc>
          <w:tcPr>
            <w:tcW w:w="2123" w:type="dxa"/>
            <w:shd w:val="clear" w:color="auto" w:fill="auto"/>
            <w:noWrap w:val="0"/>
            <w:vAlign w:val="center"/>
          </w:tcPr>
          <w:p w14:paraId="68548D3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71FCA6F2">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《中华人民共和国反食品浪费法》第七条、第二十八条</w:t>
            </w:r>
          </w:p>
          <w:p w14:paraId="44DA54FC">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5ED0A19F">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9230E3B">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7DBA6353">
            <w:pPr>
              <w:jc w:val="center"/>
              <w:rPr>
                <w:rFonts w:hint="eastAsia" w:ascii="仿宋_GB2312" w:hAnsi="仿宋_GB2312" w:eastAsia="仿宋_GB2312" w:cs="仿宋_GB2312"/>
                <w:sz w:val="21"/>
                <w:szCs w:val="21"/>
              </w:rPr>
            </w:pPr>
          </w:p>
        </w:tc>
      </w:tr>
      <w:tr w14:paraId="5FD5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CCFF35C">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7427F5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对餐饮服务经营者诱导、误导消费者超量点餐造成明显浪费的的处罚</w:t>
            </w:r>
          </w:p>
        </w:tc>
        <w:tc>
          <w:tcPr>
            <w:tcW w:w="2123" w:type="dxa"/>
            <w:shd w:val="clear" w:color="auto" w:fill="auto"/>
            <w:noWrap w:val="0"/>
            <w:vAlign w:val="center"/>
          </w:tcPr>
          <w:p w14:paraId="027B04D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72E9DFD">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《中华人民共和国反食品浪费法》第七条、第二十八条</w:t>
            </w:r>
          </w:p>
          <w:p w14:paraId="2801B9D7">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2DD8F66B">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ECFBD5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6C0463C8">
            <w:pPr>
              <w:jc w:val="center"/>
              <w:rPr>
                <w:rFonts w:hint="eastAsia" w:ascii="仿宋_GB2312" w:hAnsi="仿宋_GB2312" w:eastAsia="仿宋_GB2312" w:cs="仿宋_GB2312"/>
                <w:sz w:val="21"/>
                <w:szCs w:val="21"/>
              </w:rPr>
            </w:pPr>
          </w:p>
        </w:tc>
      </w:tr>
      <w:tr w14:paraId="7E02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05D2AC4">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60CEEC8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对销售含磷洗涤用品的处罚</w:t>
            </w:r>
          </w:p>
        </w:tc>
        <w:tc>
          <w:tcPr>
            <w:tcW w:w="2123" w:type="dxa"/>
            <w:shd w:val="clear" w:color="auto" w:fill="auto"/>
            <w:noWrap w:val="0"/>
            <w:vAlign w:val="center"/>
          </w:tcPr>
          <w:p w14:paraId="4A5E3FC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B031AE9">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《福建省环境保护条例》第二十七条、第四十三条</w:t>
            </w:r>
          </w:p>
          <w:p w14:paraId="0ACECBF0">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5E2595D7">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0844705">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17385D4">
            <w:pPr>
              <w:jc w:val="center"/>
              <w:rPr>
                <w:rFonts w:hint="eastAsia" w:ascii="仿宋_GB2312" w:hAnsi="仿宋_GB2312" w:eastAsia="仿宋_GB2312" w:cs="仿宋_GB2312"/>
                <w:sz w:val="21"/>
                <w:szCs w:val="21"/>
              </w:rPr>
            </w:pPr>
          </w:p>
        </w:tc>
      </w:tr>
      <w:tr w14:paraId="2B4C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096CC5E">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62091B1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对未领取营业执照，以个人独资企业名义从事经营活动的处罚</w:t>
            </w:r>
          </w:p>
        </w:tc>
        <w:tc>
          <w:tcPr>
            <w:tcW w:w="2123" w:type="dxa"/>
            <w:shd w:val="clear" w:color="auto" w:fill="auto"/>
            <w:noWrap w:val="0"/>
            <w:vAlign w:val="center"/>
          </w:tcPr>
          <w:p w14:paraId="50A998D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701F704">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《中华人民共和国个人独资企业法》第三十七条</w:t>
            </w:r>
          </w:p>
          <w:p w14:paraId="2F238442">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《个人独资企业登记管理办法》第三十三条</w:t>
            </w:r>
          </w:p>
          <w:p w14:paraId="7BA75463">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18906EE6">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1C6E9E6E">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5B891700">
            <w:pPr>
              <w:jc w:val="center"/>
              <w:rPr>
                <w:rFonts w:hint="eastAsia" w:ascii="仿宋_GB2312" w:hAnsi="仿宋_GB2312" w:eastAsia="仿宋_GB2312" w:cs="仿宋_GB2312"/>
                <w:sz w:val="21"/>
                <w:szCs w:val="21"/>
              </w:rPr>
            </w:pPr>
          </w:p>
        </w:tc>
      </w:tr>
      <w:tr w14:paraId="3CD5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173CA775">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0AA12D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对违反有关规定未给予未成年人免费或者优惠待遇的处罚</w:t>
            </w:r>
          </w:p>
        </w:tc>
        <w:tc>
          <w:tcPr>
            <w:tcW w:w="2123" w:type="dxa"/>
            <w:shd w:val="clear" w:color="auto" w:fill="auto"/>
            <w:noWrap w:val="0"/>
            <w:vAlign w:val="center"/>
          </w:tcPr>
          <w:p w14:paraId="7F940CD3">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83BD3FE">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《中华人民共和国未成年人保护法》第一百二十条</w:t>
            </w:r>
          </w:p>
          <w:p w14:paraId="4944FD30">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157D5627">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5C4CC254">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4D3DF697">
            <w:pPr>
              <w:jc w:val="center"/>
              <w:rPr>
                <w:rFonts w:hint="eastAsia" w:ascii="仿宋_GB2312" w:hAnsi="仿宋_GB2312" w:eastAsia="仿宋_GB2312" w:cs="仿宋_GB2312"/>
                <w:sz w:val="21"/>
                <w:szCs w:val="21"/>
              </w:rPr>
            </w:pPr>
          </w:p>
        </w:tc>
      </w:tr>
      <w:tr w14:paraId="7346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7B1C13B">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EF764C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对经营者违反明码标价规定的处罚</w:t>
            </w:r>
          </w:p>
        </w:tc>
        <w:tc>
          <w:tcPr>
            <w:tcW w:w="2123" w:type="dxa"/>
            <w:shd w:val="clear" w:color="auto" w:fill="auto"/>
            <w:noWrap w:val="0"/>
            <w:vAlign w:val="center"/>
          </w:tcPr>
          <w:p w14:paraId="06A9324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1CF88DE2">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《中华人民共和国价格法》第四十二条</w:t>
            </w:r>
          </w:p>
          <w:p w14:paraId="6CA5671F">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《价格违法行为行政处罚规定》第十三条</w:t>
            </w:r>
          </w:p>
          <w:p w14:paraId="239FB559">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3BF988C7">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5272436D">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132D596">
            <w:pPr>
              <w:jc w:val="center"/>
              <w:rPr>
                <w:rFonts w:hint="eastAsia" w:ascii="仿宋_GB2312" w:hAnsi="仿宋_GB2312" w:eastAsia="仿宋_GB2312" w:cs="仿宋_GB2312"/>
                <w:sz w:val="21"/>
                <w:szCs w:val="21"/>
              </w:rPr>
            </w:pPr>
          </w:p>
        </w:tc>
      </w:tr>
      <w:tr w14:paraId="0F0B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D9269B1">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7F2305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对农业投入品生产者、销售者、使用者未按照规定及时回收肥料等农业投入品的包装废弃物或者农用薄膜等行为的处罚</w:t>
            </w:r>
          </w:p>
        </w:tc>
        <w:tc>
          <w:tcPr>
            <w:tcW w:w="2123" w:type="dxa"/>
            <w:shd w:val="clear" w:color="auto" w:fill="auto"/>
            <w:noWrap w:val="0"/>
            <w:vAlign w:val="center"/>
          </w:tcPr>
          <w:p w14:paraId="6862C50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512A0D3">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《中华人民共和国土壤污染防治法》第八十八条</w:t>
            </w:r>
          </w:p>
        </w:tc>
        <w:tc>
          <w:tcPr>
            <w:tcW w:w="2096" w:type="dxa"/>
            <w:noWrap w:val="0"/>
            <w:vAlign w:val="center"/>
          </w:tcPr>
          <w:p w14:paraId="47CE1C36">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14FDD25F">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A38F3DE">
            <w:pPr>
              <w:jc w:val="center"/>
              <w:rPr>
                <w:rFonts w:hint="eastAsia" w:ascii="仿宋_GB2312" w:hAnsi="仿宋_GB2312" w:eastAsia="仿宋_GB2312" w:cs="仿宋_GB2312"/>
                <w:sz w:val="21"/>
                <w:szCs w:val="21"/>
              </w:rPr>
            </w:pPr>
          </w:p>
        </w:tc>
      </w:tr>
      <w:tr w14:paraId="3BF1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21C25F2">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0EADD1E7">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对农村村民未经批准或者采取欺骗手段骗取批准，非法占用土地建住宅的行政处罚</w:t>
            </w:r>
          </w:p>
        </w:tc>
        <w:tc>
          <w:tcPr>
            <w:tcW w:w="2123" w:type="dxa"/>
            <w:shd w:val="clear" w:color="auto" w:fill="auto"/>
            <w:noWrap w:val="0"/>
            <w:vAlign w:val="center"/>
          </w:tcPr>
          <w:p w14:paraId="07ECD0B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75C02C06">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《中华人民共和国土地管理法》第七十八条</w:t>
            </w:r>
          </w:p>
          <w:p w14:paraId="44F6A179">
            <w:pPr>
              <w:jc w:val="center"/>
              <w:rPr>
                <w:rFonts w:hint="eastAsia" w:ascii="仿宋_GB2312" w:hAnsi="仿宋_GB2312" w:eastAsia="仿宋_GB2312" w:cs="仿宋_GB2312"/>
                <w:sz w:val="21"/>
                <w:szCs w:val="21"/>
                <w:lang w:val="en-US" w:eastAsia="zh-CN"/>
              </w:rPr>
            </w:pPr>
          </w:p>
        </w:tc>
        <w:tc>
          <w:tcPr>
            <w:tcW w:w="2096" w:type="dxa"/>
            <w:noWrap w:val="0"/>
            <w:vAlign w:val="center"/>
          </w:tcPr>
          <w:p w14:paraId="637F7CD7">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6E78D551">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BBE1E8B">
            <w:pPr>
              <w:jc w:val="center"/>
              <w:rPr>
                <w:rFonts w:hint="eastAsia" w:ascii="仿宋_GB2312" w:hAnsi="仿宋_GB2312" w:eastAsia="仿宋_GB2312" w:cs="仿宋_GB2312"/>
                <w:sz w:val="21"/>
                <w:szCs w:val="21"/>
              </w:rPr>
            </w:pPr>
          </w:p>
        </w:tc>
      </w:tr>
      <w:tr w14:paraId="17D2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572BC26">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0022C09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对未按国家有关规定使用农药、化肥的行政处罚</w:t>
            </w:r>
          </w:p>
        </w:tc>
        <w:tc>
          <w:tcPr>
            <w:tcW w:w="2123" w:type="dxa"/>
            <w:shd w:val="clear" w:color="auto" w:fill="auto"/>
            <w:noWrap w:val="0"/>
            <w:vAlign w:val="center"/>
          </w:tcPr>
          <w:p w14:paraId="0FDE023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AFC166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《福建省九龙江流域水污染防治与生态保护办法》第二十六条第二款、第三十八条</w:t>
            </w:r>
          </w:p>
        </w:tc>
        <w:tc>
          <w:tcPr>
            <w:tcW w:w="2096" w:type="dxa"/>
            <w:noWrap w:val="0"/>
            <w:vAlign w:val="center"/>
          </w:tcPr>
          <w:p w14:paraId="334BFC21">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67C689B4">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725B9585">
            <w:pPr>
              <w:jc w:val="center"/>
              <w:rPr>
                <w:rFonts w:hint="eastAsia" w:ascii="仿宋_GB2312" w:hAnsi="仿宋_GB2312" w:eastAsia="仿宋_GB2312" w:cs="仿宋_GB2312"/>
                <w:sz w:val="21"/>
                <w:szCs w:val="21"/>
              </w:rPr>
            </w:pPr>
          </w:p>
        </w:tc>
      </w:tr>
      <w:tr w14:paraId="68DB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5F4E21E">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8BE109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对农药经营者未取得农药经营许可证经营农药等行为的行政处罚</w:t>
            </w:r>
          </w:p>
        </w:tc>
        <w:tc>
          <w:tcPr>
            <w:tcW w:w="2123" w:type="dxa"/>
            <w:shd w:val="clear" w:color="auto" w:fill="auto"/>
            <w:noWrap w:val="0"/>
            <w:vAlign w:val="center"/>
          </w:tcPr>
          <w:p w14:paraId="23AEF35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7988907">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《农药管理条例》第五十五条</w:t>
            </w:r>
          </w:p>
        </w:tc>
        <w:tc>
          <w:tcPr>
            <w:tcW w:w="2096" w:type="dxa"/>
            <w:noWrap w:val="0"/>
            <w:vAlign w:val="center"/>
          </w:tcPr>
          <w:p w14:paraId="41E3F082">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2608863A">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74B1C8F8">
            <w:pPr>
              <w:jc w:val="center"/>
              <w:rPr>
                <w:rFonts w:hint="eastAsia" w:ascii="仿宋_GB2312" w:hAnsi="仿宋_GB2312" w:eastAsia="仿宋_GB2312" w:cs="仿宋_GB2312"/>
                <w:sz w:val="21"/>
                <w:szCs w:val="21"/>
              </w:rPr>
            </w:pPr>
          </w:p>
        </w:tc>
      </w:tr>
      <w:tr w14:paraId="571B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1E17B03E">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837611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对农药经营者设立分支机构未依法变更农药经营许可证，或者未向分支机构所在地县级以上地方人民政府农业主管部门备案等行为的行政处罚</w:t>
            </w:r>
          </w:p>
        </w:tc>
        <w:tc>
          <w:tcPr>
            <w:tcW w:w="2123" w:type="dxa"/>
            <w:shd w:val="clear" w:color="auto" w:fill="auto"/>
            <w:noWrap w:val="0"/>
            <w:vAlign w:val="center"/>
          </w:tcPr>
          <w:p w14:paraId="17BB64E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039DF5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《农药管理条例》第五十七条</w:t>
            </w:r>
          </w:p>
        </w:tc>
        <w:tc>
          <w:tcPr>
            <w:tcW w:w="2096" w:type="dxa"/>
            <w:noWrap w:val="0"/>
            <w:vAlign w:val="center"/>
          </w:tcPr>
          <w:p w14:paraId="1B0F4A76">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560BFAD">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67D6B1CD">
            <w:pPr>
              <w:jc w:val="center"/>
              <w:rPr>
                <w:rFonts w:hint="eastAsia" w:ascii="仿宋_GB2312" w:hAnsi="仿宋_GB2312" w:eastAsia="仿宋_GB2312" w:cs="仿宋_GB2312"/>
                <w:sz w:val="21"/>
                <w:szCs w:val="21"/>
              </w:rPr>
            </w:pPr>
          </w:p>
        </w:tc>
      </w:tr>
      <w:tr w14:paraId="43E8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A6B9B1C">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B1C943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对销售的农作物种子应当包装而没有包装等行为的行政处罚</w:t>
            </w:r>
          </w:p>
        </w:tc>
        <w:tc>
          <w:tcPr>
            <w:tcW w:w="2123" w:type="dxa"/>
            <w:shd w:val="clear" w:color="auto" w:fill="auto"/>
            <w:noWrap w:val="0"/>
            <w:vAlign w:val="center"/>
          </w:tcPr>
          <w:p w14:paraId="05C6F20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7196617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《中华人民共和国种子法》第三十六条、第三十八条、第三十九条、第四十条、第七十九条</w:t>
            </w:r>
          </w:p>
        </w:tc>
        <w:tc>
          <w:tcPr>
            <w:tcW w:w="2096" w:type="dxa"/>
            <w:noWrap w:val="0"/>
            <w:vAlign w:val="center"/>
          </w:tcPr>
          <w:p w14:paraId="5C917E3D">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54F46A49">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BA44AE2">
            <w:pPr>
              <w:jc w:val="center"/>
              <w:rPr>
                <w:rFonts w:hint="eastAsia" w:ascii="仿宋_GB2312" w:hAnsi="仿宋_GB2312" w:eastAsia="仿宋_GB2312" w:cs="仿宋_GB2312"/>
                <w:sz w:val="21"/>
                <w:szCs w:val="21"/>
              </w:rPr>
            </w:pPr>
          </w:p>
        </w:tc>
      </w:tr>
      <w:tr w14:paraId="390E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23BFAFA">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FEC0083">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对无兽药经营许可证经营兽药等行为的行政处罚</w:t>
            </w:r>
          </w:p>
        </w:tc>
        <w:tc>
          <w:tcPr>
            <w:tcW w:w="2123" w:type="dxa"/>
            <w:shd w:val="clear" w:color="auto" w:fill="auto"/>
            <w:noWrap w:val="0"/>
            <w:vAlign w:val="center"/>
          </w:tcPr>
          <w:p w14:paraId="32C0862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79A941C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《兽药管理条例》第五十六条</w:t>
            </w:r>
          </w:p>
        </w:tc>
        <w:tc>
          <w:tcPr>
            <w:tcW w:w="2096" w:type="dxa"/>
            <w:noWrap w:val="0"/>
            <w:vAlign w:val="center"/>
          </w:tcPr>
          <w:p w14:paraId="480DD2F5">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12FC79D3">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57BB662">
            <w:pPr>
              <w:jc w:val="center"/>
              <w:rPr>
                <w:rFonts w:hint="eastAsia" w:ascii="仿宋_GB2312" w:hAnsi="仿宋_GB2312" w:eastAsia="仿宋_GB2312" w:cs="仿宋_GB2312"/>
                <w:sz w:val="21"/>
                <w:szCs w:val="21"/>
              </w:rPr>
            </w:pPr>
          </w:p>
        </w:tc>
      </w:tr>
      <w:tr w14:paraId="36E0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3181C814">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AD0639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对未按照国家有关兽药安全使用规定使用兽药等行为的行政处罚</w:t>
            </w:r>
          </w:p>
        </w:tc>
        <w:tc>
          <w:tcPr>
            <w:tcW w:w="2123" w:type="dxa"/>
            <w:shd w:val="clear" w:color="auto" w:fill="auto"/>
            <w:noWrap w:val="0"/>
            <w:vAlign w:val="center"/>
          </w:tcPr>
          <w:p w14:paraId="4535874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71298B2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《兽药管理条例》第六十二条</w:t>
            </w:r>
          </w:p>
        </w:tc>
        <w:tc>
          <w:tcPr>
            <w:tcW w:w="2096" w:type="dxa"/>
            <w:noWrap w:val="0"/>
            <w:vAlign w:val="center"/>
          </w:tcPr>
          <w:p w14:paraId="1505B2A9">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5454B07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12D1F7D9">
            <w:pPr>
              <w:jc w:val="center"/>
              <w:rPr>
                <w:rFonts w:hint="eastAsia" w:ascii="仿宋_GB2312" w:hAnsi="仿宋_GB2312" w:eastAsia="仿宋_GB2312" w:cs="仿宋_GB2312"/>
                <w:sz w:val="21"/>
                <w:szCs w:val="21"/>
              </w:rPr>
            </w:pPr>
          </w:p>
        </w:tc>
      </w:tr>
      <w:tr w14:paraId="7713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318E35F4">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A60DB5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对未取得动物诊疗许可证从事动物诊疗活动的行政处罚</w:t>
            </w:r>
          </w:p>
        </w:tc>
        <w:tc>
          <w:tcPr>
            <w:tcW w:w="2123" w:type="dxa"/>
            <w:shd w:val="clear" w:color="auto" w:fill="auto"/>
            <w:noWrap w:val="0"/>
            <w:vAlign w:val="center"/>
          </w:tcPr>
          <w:p w14:paraId="5D77815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FDE5A5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《中华人民共和国动物防疫法》第一百零五条</w:t>
            </w:r>
          </w:p>
        </w:tc>
        <w:tc>
          <w:tcPr>
            <w:tcW w:w="2096" w:type="dxa"/>
            <w:noWrap w:val="0"/>
            <w:vAlign w:val="center"/>
          </w:tcPr>
          <w:p w14:paraId="7BDC03AF">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910C358">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182CF753">
            <w:pPr>
              <w:jc w:val="center"/>
              <w:rPr>
                <w:rFonts w:hint="eastAsia" w:ascii="仿宋_GB2312" w:hAnsi="仿宋_GB2312" w:eastAsia="仿宋_GB2312" w:cs="仿宋_GB2312"/>
                <w:sz w:val="21"/>
                <w:szCs w:val="21"/>
              </w:rPr>
            </w:pPr>
          </w:p>
        </w:tc>
      </w:tr>
      <w:tr w14:paraId="7DBF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9365F25">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64420E87">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未经执业兽医备案从事经营性动物诊疗活动的行政处罚</w:t>
            </w:r>
          </w:p>
        </w:tc>
        <w:tc>
          <w:tcPr>
            <w:tcW w:w="2123" w:type="dxa"/>
            <w:shd w:val="clear" w:color="auto" w:fill="auto"/>
            <w:noWrap w:val="0"/>
            <w:vAlign w:val="center"/>
          </w:tcPr>
          <w:p w14:paraId="37ED79F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35E6CF6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《中华人民共和国动物防疫法》第一百零六条</w:t>
            </w:r>
          </w:p>
        </w:tc>
        <w:tc>
          <w:tcPr>
            <w:tcW w:w="2096" w:type="dxa"/>
            <w:noWrap w:val="0"/>
            <w:vAlign w:val="center"/>
          </w:tcPr>
          <w:p w14:paraId="06BE804E">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033695DE">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64445FEA">
            <w:pPr>
              <w:jc w:val="center"/>
              <w:rPr>
                <w:rFonts w:hint="eastAsia" w:ascii="仿宋_GB2312" w:hAnsi="仿宋_GB2312" w:eastAsia="仿宋_GB2312" w:cs="仿宋_GB2312"/>
                <w:sz w:val="21"/>
                <w:szCs w:val="21"/>
              </w:rPr>
            </w:pPr>
          </w:p>
        </w:tc>
      </w:tr>
      <w:tr w14:paraId="1A53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DF8DD38">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A4EC7C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对动物饲养者不按照规定做好兽药、饲料添加剂使用记录的行政处罚</w:t>
            </w:r>
          </w:p>
        </w:tc>
        <w:tc>
          <w:tcPr>
            <w:tcW w:w="2123" w:type="dxa"/>
            <w:shd w:val="clear" w:color="auto" w:fill="auto"/>
            <w:noWrap w:val="0"/>
            <w:vAlign w:val="center"/>
          </w:tcPr>
          <w:p w14:paraId="2F3F175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5AEF5B3">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《福建省动物防疫和动物产品安全管理办法》第二十八条第一款、第四十二条</w:t>
            </w:r>
          </w:p>
        </w:tc>
        <w:tc>
          <w:tcPr>
            <w:tcW w:w="2096" w:type="dxa"/>
            <w:noWrap w:val="0"/>
            <w:vAlign w:val="center"/>
          </w:tcPr>
          <w:p w14:paraId="36A1BF2C">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168CCC79">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52830CE7">
            <w:pPr>
              <w:jc w:val="center"/>
              <w:rPr>
                <w:rFonts w:hint="eastAsia" w:ascii="仿宋_GB2312" w:hAnsi="仿宋_GB2312" w:eastAsia="仿宋_GB2312" w:cs="仿宋_GB2312"/>
                <w:sz w:val="21"/>
                <w:szCs w:val="21"/>
              </w:rPr>
            </w:pPr>
          </w:p>
        </w:tc>
      </w:tr>
      <w:tr w14:paraId="2E93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B27D4E4">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6E85947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对未取得动物防疫合格证而从事动物饲养、经营和动物产品生产、经营活动的行政处罚</w:t>
            </w:r>
          </w:p>
        </w:tc>
        <w:tc>
          <w:tcPr>
            <w:tcW w:w="2123" w:type="dxa"/>
            <w:shd w:val="clear" w:color="auto" w:fill="auto"/>
            <w:noWrap w:val="0"/>
            <w:vAlign w:val="center"/>
          </w:tcPr>
          <w:p w14:paraId="51BD2DC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41D6603">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《福建省动物防疫和动物产品安全管理办法》第三十四条、第四十五条</w:t>
            </w:r>
          </w:p>
        </w:tc>
        <w:tc>
          <w:tcPr>
            <w:tcW w:w="2096" w:type="dxa"/>
            <w:noWrap w:val="0"/>
            <w:vAlign w:val="center"/>
          </w:tcPr>
          <w:p w14:paraId="14449C82">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6F37756E">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42FDE0A0">
            <w:pPr>
              <w:jc w:val="center"/>
              <w:rPr>
                <w:rFonts w:hint="eastAsia" w:ascii="仿宋_GB2312" w:hAnsi="仿宋_GB2312" w:eastAsia="仿宋_GB2312" w:cs="仿宋_GB2312"/>
                <w:sz w:val="21"/>
                <w:szCs w:val="21"/>
              </w:rPr>
            </w:pPr>
          </w:p>
        </w:tc>
      </w:tr>
      <w:tr w14:paraId="24D0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3B7DC31">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1B7FAA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对未取得动物诊疗许可证进行动物诊疗活动或违法进行动物诊疗活动的行政处罚</w:t>
            </w:r>
          </w:p>
        </w:tc>
        <w:tc>
          <w:tcPr>
            <w:tcW w:w="2123" w:type="dxa"/>
            <w:shd w:val="clear" w:color="auto" w:fill="auto"/>
            <w:noWrap w:val="0"/>
            <w:vAlign w:val="center"/>
          </w:tcPr>
          <w:p w14:paraId="63D41DE3">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E59614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《福建省动物防疫和动物产品安全管理办法》第三十五条、第四十六条</w:t>
            </w:r>
          </w:p>
        </w:tc>
        <w:tc>
          <w:tcPr>
            <w:tcW w:w="2096" w:type="dxa"/>
            <w:noWrap w:val="0"/>
            <w:vAlign w:val="center"/>
          </w:tcPr>
          <w:p w14:paraId="3345E3DC">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E8C1CA8">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47CBE02">
            <w:pPr>
              <w:jc w:val="center"/>
              <w:rPr>
                <w:rFonts w:hint="eastAsia" w:ascii="仿宋_GB2312" w:hAnsi="仿宋_GB2312" w:eastAsia="仿宋_GB2312" w:cs="仿宋_GB2312"/>
                <w:sz w:val="21"/>
                <w:szCs w:val="21"/>
              </w:rPr>
            </w:pPr>
          </w:p>
        </w:tc>
      </w:tr>
      <w:tr w14:paraId="2C9E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A45DE57">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317FE983">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对拒绝阻碍重大动物疫情监测、不报告动物群体发病死亡情况的行政处罚</w:t>
            </w:r>
          </w:p>
        </w:tc>
        <w:tc>
          <w:tcPr>
            <w:tcW w:w="2123" w:type="dxa"/>
            <w:shd w:val="clear" w:color="auto" w:fill="auto"/>
            <w:noWrap w:val="0"/>
            <w:vAlign w:val="center"/>
          </w:tcPr>
          <w:p w14:paraId="0AD49CE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573109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《重大动物疫情应急条例》第四十六条</w:t>
            </w:r>
          </w:p>
        </w:tc>
        <w:tc>
          <w:tcPr>
            <w:tcW w:w="2096" w:type="dxa"/>
            <w:noWrap w:val="0"/>
            <w:vAlign w:val="center"/>
          </w:tcPr>
          <w:p w14:paraId="7569ABA0">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03101720">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CE78532">
            <w:pPr>
              <w:jc w:val="center"/>
              <w:rPr>
                <w:rFonts w:hint="eastAsia" w:ascii="仿宋_GB2312" w:hAnsi="仿宋_GB2312" w:eastAsia="仿宋_GB2312" w:cs="仿宋_GB2312"/>
                <w:sz w:val="21"/>
                <w:szCs w:val="21"/>
              </w:rPr>
            </w:pPr>
          </w:p>
        </w:tc>
      </w:tr>
      <w:tr w14:paraId="26D0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6A47315">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7780B3A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经营者对饲料、饲料添加剂进行再加工或者添加物质等行为的行政处罚</w:t>
            </w:r>
          </w:p>
        </w:tc>
        <w:tc>
          <w:tcPr>
            <w:tcW w:w="2123" w:type="dxa"/>
            <w:shd w:val="clear" w:color="auto" w:fill="auto"/>
            <w:noWrap w:val="0"/>
            <w:vAlign w:val="center"/>
          </w:tcPr>
          <w:p w14:paraId="62209D1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3CE1C0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《饲料和饲料添加剂管理条例》第四十三条</w:t>
            </w:r>
          </w:p>
        </w:tc>
        <w:tc>
          <w:tcPr>
            <w:tcW w:w="2096" w:type="dxa"/>
            <w:noWrap w:val="0"/>
            <w:vAlign w:val="center"/>
          </w:tcPr>
          <w:p w14:paraId="5259F530">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002FC2F">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1EEC9DE">
            <w:pPr>
              <w:jc w:val="center"/>
              <w:rPr>
                <w:rFonts w:hint="eastAsia" w:ascii="仿宋_GB2312" w:hAnsi="仿宋_GB2312" w:eastAsia="仿宋_GB2312" w:cs="仿宋_GB2312"/>
                <w:sz w:val="21"/>
                <w:szCs w:val="21"/>
              </w:rPr>
            </w:pPr>
          </w:p>
        </w:tc>
      </w:tr>
      <w:tr w14:paraId="56DE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D154BE9">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3E0DC1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对养殖者对外提供自行配制的饲料的行政处罚</w:t>
            </w:r>
          </w:p>
        </w:tc>
        <w:tc>
          <w:tcPr>
            <w:tcW w:w="2123" w:type="dxa"/>
            <w:shd w:val="clear" w:color="auto" w:fill="auto"/>
            <w:noWrap w:val="0"/>
            <w:vAlign w:val="center"/>
          </w:tcPr>
          <w:p w14:paraId="366868C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48235F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《饲料和饲料添加剂管理条例》第四十八条</w:t>
            </w:r>
          </w:p>
        </w:tc>
        <w:tc>
          <w:tcPr>
            <w:tcW w:w="2096" w:type="dxa"/>
            <w:noWrap w:val="0"/>
            <w:vAlign w:val="center"/>
          </w:tcPr>
          <w:p w14:paraId="7C2671B0">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FA14B94">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7BC721EB">
            <w:pPr>
              <w:jc w:val="center"/>
              <w:rPr>
                <w:rFonts w:hint="eastAsia" w:ascii="仿宋_GB2312" w:hAnsi="仿宋_GB2312" w:eastAsia="仿宋_GB2312" w:cs="仿宋_GB2312"/>
                <w:sz w:val="21"/>
                <w:szCs w:val="21"/>
              </w:rPr>
            </w:pPr>
          </w:p>
        </w:tc>
      </w:tr>
      <w:tr w14:paraId="3552C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FC03364">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333030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对畜禽养殖场未建立养殖档案或未按照规定保存养殖档案的行政处罚</w:t>
            </w:r>
          </w:p>
        </w:tc>
        <w:tc>
          <w:tcPr>
            <w:tcW w:w="2123" w:type="dxa"/>
            <w:shd w:val="clear" w:color="auto" w:fill="auto"/>
            <w:noWrap w:val="0"/>
            <w:vAlign w:val="center"/>
          </w:tcPr>
          <w:p w14:paraId="45FC4A9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CA1B704">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《中华人民共和国畜牧法》第四十一条、第六十六条</w:t>
            </w:r>
          </w:p>
          <w:p w14:paraId="3F09B77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《中华人民共和国动物防疫法》第九十三条</w:t>
            </w:r>
          </w:p>
        </w:tc>
        <w:tc>
          <w:tcPr>
            <w:tcW w:w="2096" w:type="dxa"/>
            <w:noWrap w:val="0"/>
            <w:vAlign w:val="center"/>
          </w:tcPr>
          <w:p w14:paraId="774AF2F4">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5BB4860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5FDF82D4">
            <w:pPr>
              <w:jc w:val="center"/>
              <w:rPr>
                <w:rFonts w:hint="eastAsia" w:ascii="仿宋_GB2312" w:hAnsi="仿宋_GB2312" w:eastAsia="仿宋_GB2312" w:cs="仿宋_GB2312"/>
                <w:sz w:val="21"/>
                <w:szCs w:val="21"/>
              </w:rPr>
            </w:pPr>
          </w:p>
        </w:tc>
      </w:tr>
      <w:tr w14:paraId="1D4C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330DA633">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3A30F76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对未经定点从事生猪屠宰活动的行政处罚</w:t>
            </w:r>
          </w:p>
        </w:tc>
        <w:tc>
          <w:tcPr>
            <w:tcW w:w="2123" w:type="dxa"/>
            <w:shd w:val="clear" w:color="auto" w:fill="auto"/>
            <w:noWrap w:val="0"/>
            <w:vAlign w:val="center"/>
          </w:tcPr>
          <w:p w14:paraId="56B6989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18F19937">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《生猪屠宰管理条例》第三十一条</w:t>
            </w:r>
          </w:p>
        </w:tc>
        <w:tc>
          <w:tcPr>
            <w:tcW w:w="2096" w:type="dxa"/>
            <w:noWrap w:val="0"/>
            <w:vAlign w:val="center"/>
          </w:tcPr>
          <w:p w14:paraId="1B367EC1">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05659B1">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52B34E71">
            <w:pPr>
              <w:jc w:val="center"/>
              <w:rPr>
                <w:rFonts w:hint="eastAsia" w:ascii="仿宋_GB2312" w:hAnsi="仿宋_GB2312" w:eastAsia="仿宋_GB2312" w:cs="仿宋_GB2312"/>
                <w:sz w:val="21"/>
                <w:szCs w:val="21"/>
              </w:rPr>
            </w:pPr>
          </w:p>
        </w:tc>
      </w:tr>
      <w:tr w14:paraId="4FFC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E2B78C5">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FA5449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对未经定点，擅自屠宰牲畜的行政处罚</w:t>
            </w:r>
          </w:p>
        </w:tc>
        <w:tc>
          <w:tcPr>
            <w:tcW w:w="2123" w:type="dxa"/>
            <w:shd w:val="clear" w:color="auto" w:fill="auto"/>
            <w:noWrap w:val="0"/>
            <w:vAlign w:val="center"/>
          </w:tcPr>
          <w:p w14:paraId="70DBC4D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1DE67C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《福建省牲畜屠宰管理条例》第二十三条</w:t>
            </w:r>
          </w:p>
        </w:tc>
        <w:tc>
          <w:tcPr>
            <w:tcW w:w="2096" w:type="dxa"/>
            <w:noWrap w:val="0"/>
            <w:vAlign w:val="center"/>
          </w:tcPr>
          <w:p w14:paraId="3F3CB0DE">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0A180468">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BC823CC">
            <w:pPr>
              <w:jc w:val="center"/>
              <w:rPr>
                <w:rFonts w:hint="eastAsia" w:ascii="仿宋_GB2312" w:hAnsi="仿宋_GB2312" w:eastAsia="仿宋_GB2312" w:cs="仿宋_GB2312"/>
                <w:sz w:val="21"/>
                <w:szCs w:val="21"/>
              </w:rPr>
            </w:pPr>
          </w:p>
        </w:tc>
      </w:tr>
      <w:tr w14:paraId="0892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4BA7A13F">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264773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对农产品生产企业、农民专业合作经济组织未建立或者未按照规定保存或者伪造农产品生产记录逾期不改正的行政处罚</w:t>
            </w:r>
          </w:p>
        </w:tc>
        <w:tc>
          <w:tcPr>
            <w:tcW w:w="2123" w:type="dxa"/>
            <w:shd w:val="clear" w:color="auto" w:fill="auto"/>
            <w:noWrap w:val="0"/>
            <w:vAlign w:val="center"/>
          </w:tcPr>
          <w:p w14:paraId="5B2A816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C802C0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《中华人民共和国农产品质量安全法》第四十七条、第五十二条第一款</w:t>
            </w:r>
          </w:p>
        </w:tc>
        <w:tc>
          <w:tcPr>
            <w:tcW w:w="2096" w:type="dxa"/>
            <w:noWrap w:val="0"/>
            <w:vAlign w:val="center"/>
          </w:tcPr>
          <w:p w14:paraId="3D5B5D82">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707562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245B39A3">
            <w:pPr>
              <w:jc w:val="center"/>
              <w:rPr>
                <w:rFonts w:hint="eastAsia" w:ascii="仿宋_GB2312" w:hAnsi="仿宋_GB2312" w:eastAsia="仿宋_GB2312" w:cs="仿宋_GB2312"/>
                <w:sz w:val="21"/>
                <w:szCs w:val="21"/>
              </w:rPr>
            </w:pPr>
          </w:p>
        </w:tc>
      </w:tr>
      <w:tr w14:paraId="75E5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4A07408E">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BC46AB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对食用农产品种植养殖企业、农民专业合作经济组织、牲畜屠宰厂(场)未按照规定建立电子台账，及时上传食品安全追溯信息的行政处罚</w:t>
            </w:r>
          </w:p>
        </w:tc>
        <w:tc>
          <w:tcPr>
            <w:tcW w:w="2123" w:type="dxa"/>
            <w:shd w:val="clear" w:color="auto" w:fill="auto"/>
            <w:noWrap w:val="0"/>
            <w:vAlign w:val="center"/>
          </w:tcPr>
          <w:p w14:paraId="146E45A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FA960E9">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《福建省食品安全信息追溯管理办法》第十八条、第十五条、第二十四条、第三十二条</w:t>
            </w:r>
          </w:p>
          <w:p w14:paraId="19497C0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《福建省食品安全条例》第九十八条</w:t>
            </w:r>
          </w:p>
        </w:tc>
        <w:tc>
          <w:tcPr>
            <w:tcW w:w="2096" w:type="dxa"/>
            <w:noWrap w:val="0"/>
            <w:vAlign w:val="center"/>
          </w:tcPr>
          <w:p w14:paraId="72B52A00">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046BC226">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98486D3">
            <w:pPr>
              <w:jc w:val="center"/>
              <w:rPr>
                <w:rFonts w:hint="eastAsia" w:ascii="仿宋_GB2312" w:hAnsi="仿宋_GB2312" w:eastAsia="仿宋_GB2312" w:cs="仿宋_GB2312"/>
                <w:sz w:val="21"/>
                <w:szCs w:val="21"/>
              </w:rPr>
            </w:pPr>
          </w:p>
        </w:tc>
      </w:tr>
      <w:tr w14:paraId="3D52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33E5716B">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74EC2D3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对食用农产品生产企业追溯食品未按照规定赋码并销售的行政处罚</w:t>
            </w:r>
          </w:p>
        </w:tc>
        <w:tc>
          <w:tcPr>
            <w:tcW w:w="2123" w:type="dxa"/>
            <w:shd w:val="clear" w:color="auto" w:fill="auto"/>
            <w:noWrap w:val="0"/>
            <w:vAlign w:val="center"/>
          </w:tcPr>
          <w:p w14:paraId="3289859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329AE23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《福建省食品安全信息追溯管理办法》第十六条、第三十二条</w:t>
            </w:r>
          </w:p>
        </w:tc>
        <w:tc>
          <w:tcPr>
            <w:tcW w:w="2096" w:type="dxa"/>
            <w:noWrap w:val="0"/>
            <w:vAlign w:val="center"/>
          </w:tcPr>
          <w:p w14:paraId="058ABA81">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0752C63D">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3CBF657">
            <w:pPr>
              <w:jc w:val="center"/>
              <w:rPr>
                <w:rFonts w:hint="eastAsia" w:ascii="仿宋_GB2312" w:hAnsi="仿宋_GB2312" w:eastAsia="仿宋_GB2312" w:cs="仿宋_GB2312"/>
                <w:sz w:val="21"/>
                <w:szCs w:val="21"/>
              </w:rPr>
            </w:pPr>
          </w:p>
        </w:tc>
      </w:tr>
      <w:tr w14:paraId="1CAD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3737B2C">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4578C2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对食用农产品类追溯食品生产者上传虚假信息的行政处罚</w:t>
            </w:r>
          </w:p>
        </w:tc>
        <w:tc>
          <w:tcPr>
            <w:tcW w:w="2123" w:type="dxa"/>
            <w:shd w:val="clear" w:color="auto" w:fill="auto"/>
            <w:noWrap w:val="0"/>
            <w:vAlign w:val="center"/>
          </w:tcPr>
          <w:p w14:paraId="204BC88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AC9C9B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《福建省食品安全信息追溯管理办法》第二十五条第一款、第三十二条</w:t>
            </w:r>
          </w:p>
        </w:tc>
        <w:tc>
          <w:tcPr>
            <w:tcW w:w="2096" w:type="dxa"/>
            <w:noWrap w:val="0"/>
            <w:vAlign w:val="center"/>
          </w:tcPr>
          <w:p w14:paraId="36D47649">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52650BE6">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542F100D">
            <w:pPr>
              <w:jc w:val="center"/>
              <w:rPr>
                <w:rFonts w:hint="eastAsia" w:ascii="仿宋_GB2312" w:hAnsi="仿宋_GB2312" w:eastAsia="仿宋_GB2312" w:cs="仿宋_GB2312"/>
                <w:sz w:val="21"/>
                <w:szCs w:val="21"/>
              </w:rPr>
            </w:pPr>
          </w:p>
        </w:tc>
      </w:tr>
      <w:tr w14:paraId="3BC5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12175C7">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3804A38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对茶叶生产企业和农民专业合作经济组织未建立茶叶生产记录的行政处罚</w:t>
            </w:r>
          </w:p>
        </w:tc>
        <w:tc>
          <w:tcPr>
            <w:tcW w:w="2123" w:type="dxa"/>
            <w:shd w:val="clear" w:color="auto" w:fill="auto"/>
            <w:noWrap w:val="0"/>
            <w:vAlign w:val="center"/>
          </w:tcPr>
          <w:p w14:paraId="59D7F9D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2E933367">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《福建省促进茶产业发展条例》第二十八条第三款、第三十四条</w:t>
            </w:r>
          </w:p>
        </w:tc>
        <w:tc>
          <w:tcPr>
            <w:tcW w:w="2096" w:type="dxa"/>
            <w:noWrap w:val="0"/>
            <w:vAlign w:val="center"/>
          </w:tcPr>
          <w:p w14:paraId="446CE5F1">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1FFA282">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12EC0725">
            <w:pPr>
              <w:jc w:val="center"/>
              <w:rPr>
                <w:rFonts w:hint="eastAsia" w:ascii="仿宋_GB2312" w:hAnsi="仿宋_GB2312" w:eastAsia="仿宋_GB2312" w:cs="仿宋_GB2312"/>
                <w:sz w:val="21"/>
                <w:szCs w:val="21"/>
              </w:rPr>
            </w:pPr>
          </w:p>
        </w:tc>
      </w:tr>
      <w:tr w14:paraId="21DE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C3A7F89">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CF04B6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对拖拉机、联合收割机违规载人的行政处罚</w:t>
            </w:r>
          </w:p>
        </w:tc>
        <w:tc>
          <w:tcPr>
            <w:tcW w:w="2123" w:type="dxa"/>
            <w:shd w:val="clear" w:color="auto" w:fill="auto"/>
            <w:noWrap w:val="0"/>
            <w:vAlign w:val="center"/>
          </w:tcPr>
          <w:p w14:paraId="05923B6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1D82A2EA">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《中华人民共和国农业机械化促进法》第三十一条</w:t>
            </w:r>
          </w:p>
          <w:p w14:paraId="799BA3A3">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《农业机械安全监督管理条例》第五十四条第一款</w:t>
            </w:r>
          </w:p>
        </w:tc>
        <w:tc>
          <w:tcPr>
            <w:tcW w:w="2096" w:type="dxa"/>
            <w:noWrap w:val="0"/>
            <w:vAlign w:val="center"/>
          </w:tcPr>
          <w:p w14:paraId="6B0702F7">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25E93136">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6DDC0E24">
            <w:pPr>
              <w:jc w:val="center"/>
              <w:rPr>
                <w:rFonts w:hint="eastAsia" w:ascii="仿宋_GB2312" w:hAnsi="仿宋_GB2312" w:eastAsia="仿宋_GB2312" w:cs="仿宋_GB2312"/>
                <w:sz w:val="21"/>
                <w:szCs w:val="21"/>
              </w:rPr>
            </w:pPr>
          </w:p>
        </w:tc>
      </w:tr>
      <w:tr w14:paraId="2573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52F0516">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357A5EF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对未按照规定办理登记手续并取得相应的证书和牌照，擅自将拖拉机、联合收割机投入使用等行为的行政处罚</w:t>
            </w:r>
          </w:p>
        </w:tc>
        <w:tc>
          <w:tcPr>
            <w:tcW w:w="2123" w:type="dxa"/>
            <w:shd w:val="clear" w:color="auto" w:fill="auto"/>
            <w:noWrap w:val="0"/>
            <w:vAlign w:val="center"/>
          </w:tcPr>
          <w:p w14:paraId="6FB54C9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CDBD23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《农业机械安全监督管理条例》第五十条第一款</w:t>
            </w:r>
          </w:p>
        </w:tc>
        <w:tc>
          <w:tcPr>
            <w:tcW w:w="2096" w:type="dxa"/>
            <w:noWrap w:val="0"/>
            <w:vAlign w:val="center"/>
          </w:tcPr>
          <w:p w14:paraId="37B2E118">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160211C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4BC3A2FE">
            <w:pPr>
              <w:jc w:val="center"/>
              <w:rPr>
                <w:rFonts w:hint="eastAsia" w:ascii="仿宋_GB2312" w:hAnsi="仿宋_GB2312" w:eastAsia="仿宋_GB2312" w:cs="仿宋_GB2312"/>
                <w:sz w:val="21"/>
                <w:szCs w:val="21"/>
              </w:rPr>
            </w:pPr>
          </w:p>
        </w:tc>
      </w:tr>
      <w:tr w14:paraId="0818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3935D819">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BA34F9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对自走式农业机械违法载人、酒后驾驶的行政处罚</w:t>
            </w:r>
          </w:p>
        </w:tc>
        <w:tc>
          <w:tcPr>
            <w:tcW w:w="2123" w:type="dxa"/>
            <w:shd w:val="clear" w:color="auto" w:fill="auto"/>
            <w:noWrap w:val="0"/>
            <w:vAlign w:val="center"/>
          </w:tcPr>
          <w:p w14:paraId="63C8CDF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2673D5D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《福建省农业机械管理条例》第十七条第一款、第三十一条第一款</w:t>
            </w:r>
          </w:p>
        </w:tc>
        <w:tc>
          <w:tcPr>
            <w:tcW w:w="2096" w:type="dxa"/>
            <w:noWrap w:val="0"/>
            <w:vAlign w:val="center"/>
          </w:tcPr>
          <w:p w14:paraId="6C8B43F7">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1557E0B2">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5285F19">
            <w:pPr>
              <w:jc w:val="center"/>
              <w:rPr>
                <w:rFonts w:hint="eastAsia" w:ascii="仿宋_GB2312" w:hAnsi="仿宋_GB2312" w:eastAsia="仿宋_GB2312" w:cs="仿宋_GB2312"/>
                <w:sz w:val="21"/>
                <w:szCs w:val="21"/>
              </w:rPr>
            </w:pPr>
          </w:p>
        </w:tc>
      </w:tr>
      <w:tr w14:paraId="6741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3ACF9D62">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581444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对炸鱼、毒鱼、电鱼的处罚</w:t>
            </w:r>
          </w:p>
        </w:tc>
        <w:tc>
          <w:tcPr>
            <w:tcW w:w="2123" w:type="dxa"/>
            <w:shd w:val="clear" w:color="auto" w:fill="auto"/>
            <w:noWrap w:val="0"/>
            <w:vAlign w:val="center"/>
          </w:tcPr>
          <w:p w14:paraId="1D59B11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BABD53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《福建省实施&lt;中华人民共和国渔业法&gt;办法》第三十九条、第五十五条</w:t>
            </w:r>
          </w:p>
        </w:tc>
        <w:tc>
          <w:tcPr>
            <w:tcW w:w="2096" w:type="dxa"/>
            <w:noWrap w:val="0"/>
            <w:vAlign w:val="center"/>
          </w:tcPr>
          <w:p w14:paraId="635F7535">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C28FE28">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70F222F3">
            <w:pPr>
              <w:jc w:val="center"/>
              <w:rPr>
                <w:rFonts w:hint="eastAsia" w:ascii="仿宋_GB2312" w:hAnsi="仿宋_GB2312" w:eastAsia="仿宋_GB2312" w:cs="仿宋_GB2312"/>
                <w:sz w:val="21"/>
                <w:szCs w:val="21"/>
              </w:rPr>
            </w:pPr>
          </w:p>
        </w:tc>
      </w:tr>
      <w:tr w14:paraId="7B44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1FE62E5F">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E61C28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对在湿地范围内非法揭取草皮行为的处罚</w:t>
            </w:r>
          </w:p>
        </w:tc>
        <w:tc>
          <w:tcPr>
            <w:tcW w:w="2123" w:type="dxa"/>
            <w:shd w:val="clear" w:color="auto" w:fill="auto"/>
            <w:noWrap w:val="0"/>
            <w:vAlign w:val="center"/>
          </w:tcPr>
          <w:p w14:paraId="64A0646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10102D6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《福建省湿地保护条例》第四十九条第一项</w:t>
            </w:r>
          </w:p>
        </w:tc>
        <w:tc>
          <w:tcPr>
            <w:tcW w:w="2096" w:type="dxa"/>
            <w:noWrap w:val="0"/>
            <w:vAlign w:val="center"/>
          </w:tcPr>
          <w:p w14:paraId="06D182F7">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41B16AF8">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36EBA8B">
            <w:pPr>
              <w:jc w:val="center"/>
              <w:rPr>
                <w:rFonts w:hint="eastAsia" w:ascii="仿宋_GB2312" w:hAnsi="仿宋_GB2312" w:eastAsia="仿宋_GB2312" w:cs="仿宋_GB2312"/>
                <w:sz w:val="21"/>
                <w:szCs w:val="21"/>
              </w:rPr>
            </w:pPr>
          </w:p>
        </w:tc>
      </w:tr>
      <w:tr w14:paraId="24EF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1FB23A71">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1A7F7C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对在湿地范围内捡拾野生鸟卵行为的处罚</w:t>
            </w:r>
          </w:p>
        </w:tc>
        <w:tc>
          <w:tcPr>
            <w:tcW w:w="2123" w:type="dxa"/>
            <w:shd w:val="clear" w:color="auto" w:fill="auto"/>
            <w:noWrap w:val="0"/>
            <w:vAlign w:val="center"/>
          </w:tcPr>
          <w:p w14:paraId="1AE706F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6C75E1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《福建省湿地保护条例》第四十九条第三项</w:t>
            </w:r>
          </w:p>
        </w:tc>
        <w:tc>
          <w:tcPr>
            <w:tcW w:w="2096" w:type="dxa"/>
            <w:noWrap w:val="0"/>
            <w:vAlign w:val="center"/>
          </w:tcPr>
          <w:p w14:paraId="7EBEC934">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EDE96E1">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1CDFE1B6">
            <w:pPr>
              <w:jc w:val="center"/>
              <w:rPr>
                <w:rFonts w:hint="eastAsia" w:ascii="仿宋_GB2312" w:hAnsi="仿宋_GB2312" w:eastAsia="仿宋_GB2312" w:cs="仿宋_GB2312"/>
                <w:sz w:val="21"/>
                <w:szCs w:val="21"/>
              </w:rPr>
            </w:pPr>
          </w:p>
        </w:tc>
      </w:tr>
      <w:tr w14:paraId="381D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1442030">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0F904A0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对毁坏湿地保护及监测设施行为的处罚</w:t>
            </w:r>
          </w:p>
        </w:tc>
        <w:tc>
          <w:tcPr>
            <w:tcW w:w="2123" w:type="dxa"/>
            <w:shd w:val="clear" w:color="auto" w:fill="auto"/>
            <w:noWrap w:val="0"/>
            <w:vAlign w:val="center"/>
          </w:tcPr>
          <w:p w14:paraId="5393E5F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277F9E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《福建省湿地保护条例》第四十九条第五项</w:t>
            </w:r>
          </w:p>
        </w:tc>
        <w:tc>
          <w:tcPr>
            <w:tcW w:w="2096" w:type="dxa"/>
            <w:noWrap w:val="0"/>
            <w:vAlign w:val="center"/>
          </w:tcPr>
          <w:p w14:paraId="503BDCE6">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22763743">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338BADA">
            <w:pPr>
              <w:jc w:val="center"/>
              <w:rPr>
                <w:rFonts w:hint="eastAsia" w:ascii="仿宋_GB2312" w:hAnsi="仿宋_GB2312" w:eastAsia="仿宋_GB2312" w:cs="仿宋_GB2312"/>
                <w:sz w:val="21"/>
                <w:szCs w:val="21"/>
              </w:rPr>
            </w:pPr>
          </w:p>
        </w:tc>
      </w:tr>
      <w:tr w14:paraId="38F2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7A3AE21">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DCDD23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对经营者未履行森林防火责任行为的处罚</w:t>
            </w:r>
          </w:p>
        </w:tc>
        <w:tc>
          <w:tcPr>
            <w:tcW w:w="2123" w:type="dxa"/>
            <w:shd w:val="clear" w:color="auto" w:fill="auto"/>
            <w:noWrap w:val="0"/>
            <w:vAlign w:val="center"/>
          </w:tcPr>
          <w:p w14:paraId="640BD7A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2D258F1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《森林防火条例》第四十八条</w:t>
            </w:r>
          </w:p>
        </w:tc>
        <w:tc>
          <w:tcPr>
            <w:tcW w:w="2096" w:type="dxa"/>
            <w:noWrap w:val="0"/>
            <w:vAlign w:val="center"/>
          </w:tcPr>
          <w:p w14:paraId="2BA84D60">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69A208CB">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6C90793">
            <w:pPr>
              <w:jc w:val="center"/>
              <w:rPr>
                <w:rFonts w:hint="eastAsia" w:ascii="仿宋_GB2312" w:hAnsi="仿宋_GB2312" w:eastAsia="仿宋_GB2312" w:cs="仿宋_GB2312"/>
                <w:sz w:val="21"/>
                <w:szCs w:val="21"/>
              </w:rPr>
            </w:pPr>
          </w:p>
        </w:tc>
      </w:tr>
      <w:tr w14:paraId="30F2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D13CC4F">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3420CC2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对拒不接受森林防火检查或者不消除森林火灾隐患行为的处罚</w:t>
            </w:r>
          </w:p>
        </w:tc>
        <w:tc>
          <w:tcPr>
            <w:tcW w:w="2123" w:type="dxa"/>
            <w:shd w:val="clear" w:color="auto" w:fill="auto"/>
            <w:noWrap w:val="0"/>
            <w:vAlign w:val="center"/>
          </w:tcPr>
          <w:p w14:paraId="04F6E8D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825C1A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《森林防火条例》第四十九条</w:t>
            </w:r>
          </w:p>
        </w:tc>
        <w:tc>
          <w:tcPr>
            <w:tcW w:w="2096" w:type="dxa"/>
            <w:noWrap w:val="0"/>
            <w:vAlign w:val="center"/>
          </w:tcPr>
          <w:p w14:paraId="19734841">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194D7E5F">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6E2331AB">
            <w:pPr>
              <w:jc w:val="center"/>
              <w:rPr>
                <w:rFonts w:hint="eastAsia" w:ascii="仿宋_GB2312" w:hAnsi="仿宋_GB2312" w:eastAsia="仿宋_GB2312" w:cs="仿宋_GB2312"/>
                <w:sz w:val="21"/>
                <w:szCs w:val="21"/>
              </w:rPr>
            </w:pPr>
          </w:p>
        </w:tc>
      </w:tr>
      <w:tr w14:paraId="3E2D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16276AB1">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742E20D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对擅自在森林防火区从事实弹演习、爆破行为的处罚</w:t>
            </w:r>
          </w:p>
        </w:tc>
        <w:tc>
          <w:tcPr>
            <w:tcW w:w="2123" w:type="dxa"/>
            <w:shd w:val="clear" w:color="auto" w:fill="auto"/>
            <w:noWrap w:val="0"/>
            <w:vAlign w:val="center"/>
          </w:tcPr>
          <w:p w14:paraId="5B3D96C3">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332C4D0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《森林防火条例》第五十一条</w:t>
            </w:r>
          </w:p>
        </w:tc>
        <w:tc>
          <w:tcPr>
            <w:tcW w:w="2096" w:type="dxa"/>
            <w:noWrap w:val="0"/>
            <w:vAlign w:val="center"/>
          </w:tcPr>
          <w:p w14:paraId="6D0CB00F">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55A06EA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5992701E">
            <w:pPr>
              <w:jc w:val="center"/>
              <w:rPr>
                <w:rFonts w:hint="eastAsia" w:ascii="仿宋_GB2312" w:hAnsi="仿宋_GB2312" w:eastAsia="仿宋_GB2312" w:cs="仿宋_GB2312"/>
                <w:sz w:val="21"/>
                <w:szCs w:val="21"/>
              </w:rPr>
            </w:pPr>
          </w:p>
        </w:tc>
      </w:tr>
      <w:tr w14:paraId="5074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362875C">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04DC922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对未设置森林防火警示宣传标志行为的处罚</w:t>
            </w:r>
          </w:p>
        </w:tc>
        <w:tc>
          <w:tcPr>
            <w:tcW w:w="2123" w:type="dxa"/>
            <w:shd w:val="clear" w:color="auto" w:fill="auto"/>
            <w:noWrap w:val="0"/>
            <w:vAlign w:val="center"/>
          </w:tcPr>
          <w:p w14:paraId="77776BD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2BA0EC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《森林防火条例》第五十二条第一项</w:t>
            </w:r>
          </w:p>
        </w:tc>
        <w:tc>
          <w:tcPr>
            <w:tcW w:w="2096" w:type="dxa"/>
            <w:noWrap w:val="0"/>
            <w:vAlign w:val="center"/>
          </w:tcPr>
          <w:p w14:paraId="3C9ABF01">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AE30F3E">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C5F6542">
            <w:pPr>
              <w:jc w:val="center"/>
              <w:rPr>
                <w:rFonts w:hint="eastAsia" w:ascii="仿宋_GB2312" w:hAnsi="仿宋_GB2312" w:eastAsia="仿宋_GB2312" w:cs="仿宋_GB2312"/>
                <w:sz w:val="21"/>
                <w:szCs w:val="21"/>
              </w:rPr>
            </w:pPr>
          </w:p>
        </w:tc>
      </w:tr>
      <w:tr w14:paraId="2B44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C898F3D">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CB2AE9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对机动车未安装森林防火装置行为的处罚</w:t>
            </w:r>
          </w:p>
        </w:tc>
        <w:tc>
          <w:tcPr>
            <w:tcW w:w="2123" w:type="dxa"/>
            <w:shd w:val="clear" w:color="auto" w:fill="auto"/>
            <w:noWrap w:val="0"/>
            <w:vAlign w:val="center"/>
          </w:tcPr>
          <w:p w14:paraId="5350F67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1BE1A5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《森林防火条例》第五十二条第二项</w:t>
            </w:r>
          </w:p>
        </w:tc>
        <w:tc>
          <w:tcPr>
            <w:tcW w:w="2096" w:type="dxa"/>
            <w:noWrap w:val="0"/>
            <w:vAlign w:val="center"/>
          </w:tcPr>
          <w:p w14:paraId="4A962393">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054ECFE9">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6725D691">
            <w:pPr>
              <w:jc w:val="center"/>
              <w:rPr>
                <w:rFonts w:hint="eastAsia" w:ascii="仿宋_GB2312" w:hAnsi="仿宋_GB2312" w:eastAsia="仿宋_GB2312" w:cs="仿宋_GB2312"/>
                <w:sz w:val="21"/>
                <w:szCs w:val="21"/>
              </w:rPr>
            </w:pPr>
          </w:p>
        </w:tc>
      </w:tr>
      <w:tr w14:paraId="7D46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DE86DF7">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9B9A25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对擅自进入森林高火险区活动行为的处罚</w:t>
            </w:r>
          </w:p>
        </w:tc>
        <w:tc>
          <w:tcPr>
            <w:tcW w:w="2123" w:type="dxa"/>
            <w:shd w:val="clear" w:color="auto" w:fill="auto"/>
            <w:noWrap w:val="0"/>
            <w:vAlign w:val="center"/>
          </w:tcPr>
          <w:p w14:paraId="38DA78B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0D0BB2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《森林防火条例》第五十二条第三项</w:t>
            </w:r>
          </w:p>
        </w:tc>
        <w:tc>
          <w:tcPr>
            <w:tcW w:w="2096" w:type="dxa"/>
            <w:noWrap w:val="0"/>
            <w:vAlign w:val="center"/>
          </w:tcPr>
          <w:p w14:paraId="26DD25EC">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21E25692">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5D5E9A8D">
            <w:pPr>
              <w:jc w:val="center"/>
              <w:rPr>
                <w:rFonts w:hint="eastAsia" w:ascii="仿宋_GB2312" w:hAnsi="仿宋_GB2312" w:eastAsia="仿宋_GB2312" w:cs="仿宋_GB2312"/>
                <w:sz w:val="21"/>
                <w:szCs w:val="21"/>
              </w:rPr>
            </w:pPr>
          </w:p>
        </w:tc>
      </w:tr>
      <w:tr w14:paraId="393C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ED15588">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C314887">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对依法批准野外用火但未采取安全防范措施的处罚</w:t>
            </w:r>
          </w:p>
        </w:tc>
        <w:tc>
          <w:tcPr>
            <w:tcW w:w="2123" w:type="dxa"/>
            <w:shd w:val="clear" w:color="auto" w:fill="auto"/>
            <w:noWrap w:val="0"/>
            <w:vAlign w:val="center"/>
          </w:tcPr>
          <w:p w14:paraId="66ED0C8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1E403A7">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《福建省森林防火条例》第四十一条</w:t>
            </w:r>
          </w:p>
        </w:tc>
        <w:tc>
          <w:tcPr>
            <w:tcW w:w="2096" w:type="dxa"/>
            <w:noWrap w:val="0"/>
            <w:vAlign w:val="center"/>
          </w:tcPr>
          <w:p w14:paraId="6E68B955">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36B127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AB7E966">
            <w:pPr>
              <w:jc w:val="center"/>
              <w:rPr>
                <w:rFonts w:hint="eastAsia" w:ascii="仿宋_GB2312" w:hAnsi="仿宋_GB2312" w:eastAsia="仿宋_GB2312" w:cs="仿宋_GB2312"/>
                <w:sz w:val="21"/>
                <w:szCs w:val="21"/>
              </w:rPr>
            </w:pPr>
          </w:p>
        </w:tc>
      </w:tr>
      <w:tr w14:paraId="64F5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9F58C3D">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B17EDA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对毁坏或者擅自拆除、挪用森林防火标志、设施、器材行为的处罚</w:t>
            </w:r>
          </w:p>
        </w:tc>
        <w:tc>
          <w:tcPr>
            <w:tcW w:w="2123" w:type="dxa"/>
            <w:shd w:val="clear" w:color="auto" w:fill="auto"/>
            <w:noWrap w:val="0"/>
            <w:vAlign w:val="center"/>
          </w:tcPr>
          <w:p w14:paraId="2ECFBD0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6CB42E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《福建省森林防火条例》第四十四条第一项</w:t>
            </w:r>
          </w:p>
        </w:tc>
        <w:tc>
          <w:tcPr>
            <w:tcW w:w="2096" w:type="dxa"/>
            <w:noWrap w:val="0"/>
            <w:vAlign w:val="center"/>
          </w:tcPr>
          <w:p w14:paraId="61BB5044">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6320D7E">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29BB21FD">
            <w:pPr>
              <w:jc w:val="center"/>
              <w:rPr>
                <w:rFonts w:hint="eastAsia" w:ascii="仿宋_GB2312" w:hAnsi="仿宋_GB2312" w:eastAsia="仿宋_GB2312" w:cs="仿宋_GB2312"/>
                <w:sz w:val="21"/>
                <w:szCs w:val="21"/>
              </w:rPr>
            </w:pPr>
          </w:p>
        </w:tc>
      </w:tr>
      <w:tr w14:paraId="72BF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4EA72128">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0B29652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对破坏防火隔离带或者生物防火林带行为的处罚</w:t>
            </w:r>
          </w:p>
        </w:tc>
        <w:tc>
          <w:tcPr>
            <w:tcW w:w="2123" w:type="dxa"/>
            <w:shd w:val="clear" w:color="auto" w:fill="auto"/>
            <w:noWrap w:val="0"/>
            <w:vAlign w:val="center"/>
          </w:tcPr>
          <w:p w14:paraId="0F144B5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81DEB1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《福建省森林防火条例》第四十四条第二项</w:t>
            </w:r>
          </w:p>
        </w:tc>
        <w:tc>
          <w:tcPr>
            <w:tcW w:w="2096" w:type="dxa"/>
            <w:noWrap w:val="0"/>
            <w:vAlign w:val="center"/>
          </w:tcPr>
          <w:p w14:paraId="00A569C1">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2F70A381">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EEBDF1B">
            <w:pPr>
              <w:jc w:val="center"/>
              <w:rPr>
                <w:rFonts w:hint="eastAsia" w:ascii="仿宋_GB2312" w:hAnsi="仿宋_GB2312" w:eastAsia="仿宋_GB2312" w:cs="仿宋_GB2312"/>
                <w:sz w:val="21"/>
                <w:szCs w:val="21"/>
              </w:rPr>
            </w:pPr>
          </w:p>
        </w:tc>
      </w:tr>
      <w:tr w14:paraId="70D7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58537A8">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5ED91F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对未经批准或未按要求在河道、湖泊管理范围内从事工程设施建设活动的处罚</w:t>
            </w:r>
          </w:p>
        </w:tc>
        <w:tc>
          <w:tcPr>
            <w:tcW w:w="2123" w:type="dxa"/>
            <w:shd w:val="clear" w:color="auto" w:fill="auto"/>
            <w:noWrap w:val="0"/>
            <w:vAlign w:val="center"/>
          </w:tcPr>
          <w:p w14:paraId="57B6EA5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15C0442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《中华人民共和国防洪法》第二十七条、第五十七条</w:t>
            </w:r>
          </w:p>
        </w:tc>
        <w:tc>
          <w:tcPr>
            <w:tcW w:w="2096" w:type="dxa"/>
            <w:noWrap w:val="0"/>
            <w:vAlign w:val="center"/>
          </w:tcPr>
          <w:p w14:paraId="2557F01E">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5DD52AC6">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E2C1D1C">
            <w:pPr>
              <w:jc w:val="center"/>
              <w:rPr>
                <w:rFonts w:hint="eastAsia" w:ascii="仿宋_GB2312" w:hAnsi="仿宋_GB2312" w:eastAsia="仿宋_GB2312" w:cs="仿宋_GB2312"/>
                <w:sz w:val="21"/>
                <w:szCs w:val="21"/>
              </w:rPr>
            </w:pPr>
          </w:p>
        </w:tc>
      </w:tr>
      <w:tr w14:paraId="3386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3AF0F35">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0B7F7C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对破坏、侵占、毁损堤防、水闸、护岸、抽水站、排水渠系等防洪工程和水文、通信设施以及防汛备用的器材、物料的处罚</w:t>
            </w:r>
          </w:p>
        </w:tc>
        <w:tc>
          <w:tcPr>
            <w:tcW w:w="2123" w:type="dxa"/>
            <w:shd w:val="clear" w:color="auto" w:fill="auto"/>
            <w:noWrap w:val="0"/>
            <w:vAlign w:val="center"/>
          </w:tcPr>
          <w:p w14:paraId="3F36CDF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33A45154">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《中华人民共和国防洪法》第六十条</w:t>
            </w:r>
          </w:p>
          <w:p w14:paraId="2A2DB98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《中华人民共和国河道管理条例》第四十五条</w:t>
            </w:r>
          </w:p>
        </w:tc>
        <w:tc>
          <w:tcPr>
            <w:tcW w:w="2096" w:type="dxa"/>
            <w:noWrap w:val="0"/>
            <w:vAlign w:val="center"/>
          </w:tcPr>
          <w:p w14:paraId="3A0E5C54">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C4C6668">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FBC3152">
            <w:pPr>
              <w:jc w:val="center"/>
              <w:rPr>
                <w:rFonts w:hint="eastAsia" w:ascii="仿宋_GB2312" w:hAnsi="仿宋_GB2312" w:eastAsia="仿宋_GB2312" w:cs="仿宋_GB2312"/>
                <w:sz w:val="21"/>
                <w:szCs w:val="21"/>
              </w:rPr>
            </w:pPr>
          </w:p>
        </w:tc>
      </w:tr>
      <w:tr w14:paraId="352E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1A5AEADB">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6973471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对在林区采伐林木不依法采取防止水土流失措施的处罚</w:t>
            </w:r>
          </w:p>
        </w:tc>
        <w:tc>
          <w:tcPr>
            <w:tcW w:w="2123" w:type="dxa"/>
            <w:shd w:val="clear" w:color="auto" w:fill="auto"/>
            <w:noWrap w:val="0"/>
            <w:vAlign w:val="center"/>
          </w:tcPr>
          <w:p w14:paraId="1B7F5A3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7D8A2E1F">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《中华人民共和国水土保持法》第五十二条</w:t>
            </w:r>
          </w:p>
          <w:p w14:paraId="43625AE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《福建省水土保持条例》第十六条、第十七条、第十八条、第四十二条</w:t>
            </w:r>
          </w:p>
        </w:tc>
        <w:tc>
          <w:tcPr>
            <w:tcW w:w="2096" w:type="dxa"/>
            <w:noWrap w:val="0"/>
            <w:vAlign w:val="center"/>
          </w:tcPr>
          <w:p w14:paraId="6BD8F408">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2795558">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1F2000F5">
            <w:pPr>
              <w:jc w:val="center"/>
              <w:rPr>
                <w:rFonts w:hint="eastAsia" w:ascii="仿宋_GB2312" w:hAnsi="仿宋_GB2312" w:eastAsia="仿宋_GB2312" w:cs="仿宋_GB2312"/>
                <w:sz w:val="21"/>
                <w:szCs w:val="21"/>
              </w:rPr>
            </w:pPr>
          </w:p>
        </w:tc>
      </w:tr>
      <w:tr w14:paraId="0DE1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BAB8841">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3285F17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对开办生产建设项目或者从事其他生产建设活动造成水土流失，不进行治理的处罚</w:t>
            </w:r>
          </w:p>
        </w:tc>
        <w:tc>
          <w:tcPr>
            <w:tcW w:w="2123" w:type="dxa"/>
            <w:shd w:val="clear" w:color="auto" w:fill="auto"/>
            <w:noWrap w:val="0"/>
            <w:vAlign w:val="center"/>
          </w:tcPr>
          <w:p w14:paraId="059BD54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542236C">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《中华人民共和国水土保持法》第五十六条</w:t>
            </w:r>
          </w:p>
          <w:p w14:paraId="4DCEEEF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《福建省水土保持条例》第十九条、第四十三条</w:t>
            </w:r>
          </w:p>
        </w:tc>
        <w:tc>
          <w:tcPr>
            <w:tcW w:w="2096" w:type="dxa"/>
            <w:noWrap w:val="0"/>
            <w:vAlign w:val="center"/>
          </w:tcPr>
          <w:p w14:paraId="6AB0E633">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6995D5C9">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795EB289">
            <w:pPr>
              <w:jc w:val="center"/>
              <w:rPr>
                <w:rFonts w:hint="eastAsia" w:ascii="仿宋_GB2312" w:hAnsi="仿宋_GB2312" w:eastAsia="仿宋_GB2312" w:cs="仿宋_GB2312"/>
                <w:sz w:val="21"/>
                <w:szCs w:val="21"/>
              </w:rPr>
            </w:pPr>
          </w:p>
        </w:tc>
      </w:tr>
      <w:tr w14:paraId="04A0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4B24DB29">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281E151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对在水土保持方案确定的专门存放地以外的区域倾倒砂、石、土、矸石、尾矿、废渣等的处罚</w:t>
            </w:r>
          </w:p>
        </w:tc>
        <w:tc>
          <w:tcPr>
            <w:tcW w:w="2123" w:type="dxa"/>
            <w:shd w:val="clear" w:color="auto" w:fill="auto"/>
            <w:noWrap w:val="0"/>
            <w:vAlign w:val="center"/>
          </w:tcPr>
          <w:p w14:paraId="0546695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ADB2B0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《中华人民共和国水土保持法》第五十五条</w:t>
            </w:r>
          </w:p>
        </w:tc>
        <w:tc>
          <w:tcPr>
            <w:tcW w:w="2096" w:type="dxa"/>
            <w:noWrap w:val="0"/>
            <w:vAlign w:val="center"/>
          </w:tcPr>
          <w:p w14:paraId="5D58C82D">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05BE7F64">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235A24A5">
            <w:pPr>
              <w:jc w:val="center"/>
              <w:rPr>
                <w:rFonts w:hint="eastAsia" w:ascii="仿宋_GB2312" w:hAnsi="仿宋_GB2312" w:eastAsia="仿宋_GB2312" w:cs="仿宋_GB2312"/>
                <w:sz w:val="21"/>
                <w:szCs w:val="21"/>
              </w:rPr>
            </w:pPr>
          </w:p>
        </w:tc>
      </w:tr>
      <w:tr w14:paraId="425D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065CB08">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22B4305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对在河道管理范围内弃置、堆放阻碍行洪物体的、种植阻碍行洪的林木或者高杆植物的、修建围堤、阻水渠道、阻水道路的处罚</w:t>
            </w:r>
          </w:p>
        </w:tc>
        <w:tc>
          <w:tcPr>
            <w:tcW w:w="2123" w:type="dxa"/>
            <w:shd w:val="clear" w:color="auto" w:fill="auto"/>
            <w:noWrap w:val="0"/>
            <w:vAlign w:val="center"/>
          </w:tcPr>
          <w:p w14:paraId="2911486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169061AD">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《中华人民共和国河道管理条例》第四十四条、第四十五条</w:t>
            </w:r>
          </w:p>
          <w:p w14:paraId="6A5BBEF7">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《福建省防洪条例》第二十二条、第二十三条、第四十三条、第四十四条</w:t>
            </w:r>
          </w:p>
          <w:p w14:paraId="1505666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《福建省沿海滩涂围垦办法》第二十一条、第二十九条</w:t>
            </w:r>
          </w:p>
        </w:tc>
        <w:tc>
          <w:tcPr>
            <w:tcW w:w="2096" w:type="dxa"/>
            <w:noWrap w:val="0"/>
            <w:vAlign w:val="center"/>
          </w:tcPr>
          <w:p w14:paraId="43D4284F">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AA298F4">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F07FED1">
            <w:pPr>
              <w:jc w:val="center"/>
              <w:rPr>
                <w:rFonts w:hint="eastAsia" w:ascii="仿宋_GB2312" w:hAnsi="仿宋_GB2312" w:eastAsia="仿宋_GB2312" w:cs="仿宋_GB2312"/>
                <w:sz w:val="21"/>
                <w:szCs w:val="21"/>
              </w:rPr>
            </w:pPr>
          </w:p>
        </w:tc>
      </w:tr>
      <w:tr w14:paraId="3C12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BC1FBFF">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0E8699B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对未经批准或者不按照河道主管机关的规定在河道管理范围内采砂、取土、淘金、弃置砂石或者淤泥、爆破、钻探、挖筑鱼塘的处罚</w:t>
            </w:r>
          </w:p>
        </w:tc>
        <w:tc>
          <w:tcPr>
            <w:tcW w:w="2123" w:type="dxa"/>
            <w:shd w:val="clear" w:color="auto" w:fill="auto"/>
            <w:noWrap w:val="0"/>
            <w:vAlign w:val="center"/>
          </w:tcPr>
          <w:p w14:paraId="1CF16A1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68726C30">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《中华人民共和国河道管理条例》第四十四条、第四十五条</w:t>
            </w:r>
          </w:p>
          <w:p w14:paraId="0BB23033">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《福建省防洪条例》第二十二条、第二十三条、第四十三条、第四十四条</w:t>
            </w:r>
          </w:p>
          <w:p w14:paraId="1783622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《福建省沿海滩涂围垦办法》第二十一条、第二十九条</w:t>
            </w:r>
          </w:p>
        </w:tc>
        <w:tc>
          <w:tcPr>
            <w:tcW w:w="2096" w:type="dxa"/>
            <w:noWrap w:val="0"/>
            <w:vAlign w:val="center"/>
          </w:tcPr>
          <w:p w14:paraId="3EC0CF54">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74843F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66D2E45F">
            <w:pPr>
              <w:jc w:val="center"/>
              <w:rPr>
                <w:rFonts w:hint="eastAsia" w:ascii="仿宋_GB2312" w:hAnsi="仿宋_GB2312" w:eastAsia="仿宋_GB2312" w:cs="仿宋_GB2312"/>
                <w:sz w:val="21"/>
                <w:szCs w:val="21"/>
              </w:rPr>
            </w:pPr>
          </w:p>
        </w:tc>
      </w:tr>
      <w:tr w14:paraId="0D08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290D7C2">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0E53804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对毁坏大坝或者其观测、通信、动力、照明、交通、消防等管理设施的处罚</w:t>
            </w:r>
          </w:p>
        </w:tc>
        <w:tc>
          <w:tcPr>
            <w:tcW w:w="2123" w:type="dxa"/>
            <w:shd w:val="clear" w:color="auto" w:fill="auto"/>
            <w:noWrap w:val="0"/>
            <w:vAlign w:val="center"/>
          </w:tcPr>
          <w:p w14:paraId="7EF3703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3BA01DE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《水库大坝安全管理条例》第二十九条</w:t>
            </w:r>
          </w:p>
        </w:tc>
        <w:tc>
          <w:tcPr>
            <w:tcW w:w="2096" w:type="dxa"/>
            <w:noWrap w:val="0"/>
            <w:vAlign w:val="center"/>
          </w:tcPr>
          <w:p w14:paraId="7D41F9BB">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4D9BB631">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DEF94C9">
            <w:pPr>
              <w:jc w:val="center"/>
              <w:rPr>
                <w:rFonts w:hint="eastAsia" w:ascii="仿宋_GB2312" w:hAnsi="仿宋_GB2312" w:eastAsia="仿宋_GB2312" w:cs="仿宋_GB2312"/>
                <w:sz w:val="21"/>
                <w:szCs w:val="21"/>
              </w:rPr>
            </w:pPr>
          </w:p>
        </w:tc>
      </w:tr>
      <w:tr w14:paraId="7130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1AD84C1">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847D74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对在大坝管理和保护范围内进行爆破、打井、采石、采矿、取土、挖沙、修坟等危害大坝安全活动的处罚</w:t>
            </w:r>
          </w:p>
        </w:tc>
        <w:tc>
          <w:tcPr>
            <w:tcW w:w="2123" w:type="dxa"/>
            <w:shd w:val="clear" w:color="auto" w:fill="auto"/>
            <w:noWrap w:val="0"/>
            <w:vAlign w:val="center"/>
          </w:tcPr>
          <w:p w14:paraId="32B7B1D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3B8BB57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《水库大坝安全管理条例》第二十九条</w:t>
            </w:r>
          </w:p>
        </w:tc>
        <w:tc>
          <w:tcPr>
            <w:tcW w:w="2096" w:type="dxa"/>
            <w:noWrap w:val="0"/>
            <w:vAlign w:val="center"/>
          </w:tcPr>
          <w:p w14:paraId="24816037">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08EA0BEB">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613F8E0E">
            <w:pPr>
              <w:jc w:val="center"/>
              <w:rPr>
                <w:rFonts w:hint="eastAsia" w:ascii="仿宋_GB2312" w:hAnsi="仿宋_GB2312" w:eastAsia="仿宋_GB2312" w:cs="仿宋_GB2312"/>
                <w:sz w:val="21"/>
                <w:szCs w:val="21"/>
              </w:rPr>
            </w:pPr>
          </w:p>
        </w:tc>
      </w:tr>
      <w:tr w14:paraId="451D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A3D5D27">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20E74A5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对在库区内围垦的处罚</w:t>
            </w:r>
          </w:p>
        </w:tc>
        <w:tc>
          <w:tcPr>
            <w:tcW w:w="2123" w:type="dxa"/>
            <w:shd w:val="clear" w:color="auto" w:fill="auto"/>
            <w:noWrap w:val="0"/>
            <w:vAlign w:val="center"/>
          </w:tcPr>
          <w:p w14:paraId="5E9298B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491BB8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《水库大坝安全管理条例》第二十九条</w:t>
            </w:r>
          </w:p>
        </w:tc>
        <w:tc>
          <w:tcPr>
            <w:tcW w:w="2096" w:type="dxa"/>
            <w:noWrap w:val="0"/>
            <w:vAlign w:val="center"/>
          </w:tcPr>
          <w:p w14:paraId="776A85BF">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61EFF450">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8161470">
            <w:pPr>
              <w:jc w:val="center"/>
              <w:rPr>
                <w:rFonts w:hint="eastAsia" w:ascii="仿宋_GB2312" w:hAnsi="仿宋_GB2312" w:eastAsia="仿宋_GB2312" w:cs="仿宋_GB2312"/>
                <w:sz w:val="21"/>
                <w:szCs w:val="21"/>
              </w:rPr>
            </w:pPr>
          </w:p>
        </w:tc>
      </w:tr>
      <w:tr w14:paraId="1811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4B3835C">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B3BDE6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对在坝体修建码头、渠道或者堆放杂物、晾晒粮草的处罚</w:t>
            </w:r>
          </w:p>
        </w:tc>
        <w:tc>
          <w:tcPr>
            <w:tcW w:w="2123" w:type="dxa"/>
            <w:shd w:val="clear" w:color="auto" w:fill="auto"/>
            <w:noWrap w:val="0"/>
            <w:vAlign w:val="center"/>
          </w:tcPr>
          <w:p w14:paraId="3716927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49ECF87">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《水库大坝安全管理条例》第二十九条</w:t>
            </w:r>
          </w:p>
        </w:tc>
        <w:tc>
          <w:tcPr>
            <w:tcW w:w="2096" w:type="dxa"/>
            <w:noWrap w:val="0"/>
            <w:vAlign w:val="center"/>
          </w:tcPr>
          <w:p w14:paraId="084CA9F8">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7C80E9F">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7BB27AAF">
            <w:pPr>
              <w:jc w:val="center"/>
              <w:rPr>
                <w:rFonts w:hint="eastAsia" w:ascii="仿宋_GB2312" w:hAnsi="仿宋_GB2312" w:eastAsia="仿宋_GB2312" w:cs="仿宋_GB2312"/>
                <w:sz w:val="21"/>
                <w:szCs w:val="21"/>
              </w:rPr>
            </w:pPr>
          </w:p>
        </w:tc>
      </w:tr>
      <w:tr w14:paraId="61B1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31C0A301">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0DEB5CAE">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对擅自在大坝管理和保护范围内修建码头、鱼塘的处罚</w:t>
            </w:r>
          </w:p>
        </w:tc>
        <w:tc>
          <w:tcPr>
            <w:tcW w:w="2123" w:type="dxa"/>
            <w:shd w:val="clear" w:color="auto" w:fill="auto"/>
            <w:noWrap w:val="0"/>
            <w:vAlign w:val="center"/>
          </w:tcPr>
          <w:p w14:paraId="6F94041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C1CA7A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《水库大坝安全管理条例》第二十九条</w:t>
            </w:r>
          </w:p>
        </w:tc>
        <w:tc>
          <w:tcPr>
            <w:tcW w:w="2096" w:type="dxa"/>
            <w:noWrap w:val="0"/>
            <w:vAlign w:val="center"/>
          </w:tcPr>
          <w:p w14:paraId="39D40D4A">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45580CC3">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46ABDD48">
            <w:pPr>
              <w:jc w:val="center"/>
              <w:rPr>
                <w:rFonts w:hint="eastAsia" w:ascii="仿宋_GB2312" w:hAnsi="仿宋_GB2312" w:eastAsia="仿宋_GB2312" w:cs="仿宋_GB2312"/>
                <w:sz w:val="21"/>
                <w:szCs w:val="21"/>
              </w:rPr>
            </w:pPr>
          </w:p>
        </w:tc>
      </w:tr>
      <w:tr w14:paraId="33A6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7608B2E">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C5AE25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对围垦水库或占用围垦垦区内、外的排涝通道的处罚</w:t>
            </w:r>
          </w:p>
        </w:tc>
        <w:tc>
          <w:tcPr>
            <w:tcW w:w="2123" w:type="dxa"/>
            <w:shd w:val="clear" w:color="auto" w:fill="auto"/>
            <w:noWrap w:val="0"/>
            <w:vAlign w:val="center"/>
          </w:tcPr>
          <w:p w14:paraId="34D9F0B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0CA8DF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《福建省防洪条例》第二十四条、第四十五条</w:t>
            </w:r>
          </w:p>
        </w:tc>
        <w:tc>
          <w:tcPr>
            <w:tcW w:w="2096" w:type="dxa"/>
            <w:noWrap w:val="0"/>
            <w:vAlign w:val="center"/>
          </w:tcPr>
          <w:p w14:paraId="3302A0C4">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DEB64E9">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61E735F">
            <w:pPr>
              <w:jc w:val="center"/>
              <w:rPr>
                <w:rFonts w:hint="eastAsia" w:ascii="仿宋_GB2312" w:hAnsi="仿宋_GB2312" w:eastAsia="仿宋_GB2312" w:cs="仿宋_GB2312"/>
                <w:sz w:val="21"/>
                <w:szCs w:val="21"/>
              </w:rPr>
            </w:pPr>
          </w:p>
        </w:tc>
      </w:tr>
      <w:tr w14:paraId="4C7D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D509930">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748DA0A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对未办理河道采砂许可证，擅自进行河道采砂的处罚</w:t>
            </w:r>
          </w:p>
        </w:tc>
        <w:tc>
          <w:tcPr>
            <w:tcW w:w="2123" w:type="dxa"/>
            <w:shd w:val="clear" w:color="auto" w:fill="auto"/>
            <w:noWrap w:val="0"/>
            <w:vAlign w:val="center"/>
          </w:tcPr>
          <w:p w14:paraId="67FFA4C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7887C2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《福建省河道保护管理条例》第四十四条</w:t>
            </w:r>
          </w:p>
        </w:tc>
        <w:tc>
          <w:tcPr>
            <w:tcW w:w="2096" w:type="dxa"/>
            <w:noWrap w:val="0"/>
            <w:vAlign w:val="center"/>
          </w:tcPr>
          <w:p w14:paraId="62F058DA">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148E472E">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4FF1E606">
            <w:pPr>
              <w:jc w:val="center"/>
              <w:rPr>
                <w:rFonts w:hint="eastAsia" w:ascii="仿宋_GB2312" w:hAnsi="仿宋_GB2312" w:eastAsia="仿宋_GB2312" w:cs="仿宋_GB2312"/>
                <w:sz w:val="21"/>
                <w:szCs w:val="21"/>
              </w:rPr>
            </w:pPr>
          </w:p>
        </w:tc>
      </w:tr>
      <w:tr w14:paraId="061B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E25E5D1">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6EFD7A0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对未按照河道采砂许可证规定的要求采砂或未及时清除砂石弃碴的处罚</w:t>
            </w:r>
          </w:p>
        </w:tc>
        <w:tc>
          <w:tcPr>
            <w:tcW w:w="2123" w:type="dxa"/>
            <w:shd w:val="clear" w:color="auto" w:fill="auto"/>
            <w:noWrap w:val="0"/>
            <w:vAlign w:val="center"/>
          </w:tcPr>
          <w:p w14:paraId="01CB688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67D698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《福建省河道保护管理条例》第四十四条</w:t>
            </w:r>
          </w:p>
        </w:tc>
        <w:tc>
          <w:tcPr>
            <w:tcW w:w="2096" w:type="dxa"/>
            <w:noWrap w:val="0"/>
            <w:vAlign w:val="center"/>
          </w:tcPr>
          <w:p w14:paraId="28B114E1">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218AC077">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04D5B13">
            <w:pPr>
              <w:jc w:val="center"/>
              <w:rPr>
                <w:rFonts w:hint="eastAsia" w:ascii="仿宋_GB2312" w:hAnsi="仿宋_GB2312" w:eastAsia="仿宋_GB2312" w:cs="仿宋_GB2312"/>
                <w:sz w:val="21"/>
                <w:szCs w:val="21"/>
              </w:rPr>
            </w:pPr>
          </w:p>
        </w:tc>
      </w:tr>
      <w:tr w14:paraId="7C54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5350510">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F4ACAC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对堆放阻碍农田水利工程设施蓄水、输水、排水的物体，建设妨碍农田水利工程设施蓄水、输水、排水的建筑物和构筑物，擅自占用农业灌溉水源、农田水利工程设施行为的处罚</w:t>
            </w:r>
          </w:p>
        </w:tc>
        <w:tc>
          <w:tcPr>
            <w:tcW w:w="2123" w:type="dxa"/>
            <w:shd w:val="clear" w:color="auto" w:fill="auto"/>
            <w:noWrap w:val="0"/>
            <w:vAlign w:val="center"/>
          </w:tcPr>
          <w:p w14:paraId="3772EF6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19F0C28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《农田水利条例》第四十二条</w:t>
            </w:r>
          </w:p>
        </w:tc>
        <w:tc>
          <w:tcPr>
            <w:tcW w:w="2096" w:type="dxa"/>
            <w:noWrap w:val="0"/>
            <w:vAlign w:val="center"/>
          </w:tcPr>
          <w:p w14:paraId="76EFA4D9">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544774AA">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4437C34D">
            <w:pPr>
              <w:jc w:val="center"/>
              <w:rPr>
                <w:rFonts w:hint="eastAsia" w:ascii="仿宋_GB2312" w:hAnsi="仿宋_GB2312" w:eastAsia="仿宋_GB2312" w:cs="仿宋_GB2312"/>
                <w:sz w:val="21"/>
                <w:szCs w:val="21"/>
              </w:rPr>
            </w:pPr>
          </w:p>
        </w:tc>
      </w:tr>
      <w:tr w14:paraId="03BD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41049272">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5299966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对损害路面的机具擅自在农村公路上行驶的处罚</w:t>
            </w:r>
          </w:p>
        </w:tc>
        <w:tc>
          <w:tcPr>
            <w:tcW w:w="2123" w:type="dxa"/>
            <w:shd w:val="clear" w:color="auto" w:fill="auto"/>
            <w:noWrap w:val="0"/>
            <w:vAlign w:val="center"/>
          </w:tcPr>
          <w:p w14:paraId="71A89FF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7EE2F9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《中华人民共和国公路法》第四十八条、第七十六条</w:t>
            </w:r>
          </w:p>
        </w:tc>
        <w:tc>
          <w:tcPr>
            <w:tcW w:w="2096" w:type="dxa"/>
            <w:noWrap w:val="0"/>
            <w:vAlign w:val="center"/>
          </w:tcPr>
          <w:p w14:paraId="4FC9F920">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8AD2948">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5DDD837C">
            <w:pPr>
              <w:jc w:val="center"/>
              <w:rPr>
                <w:rFonts w:hint="eastAsia" w:ascii="仿宋_GB2312" w:hAnsi="仿宋_GB2312" w:eastAsia="仿宋_GB2312" w:cs="仿宋_GB2312"/>
                <w:sz w:val="21"/>
                <w:szCs w:val="21"/>
              </w:rPr>
            </w:pPr>
          </w:p>
        </w:tc>
      </w:tr>
      <w:tr w14:paraId="2BAD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F57F36E">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795E1B5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对在农村公路上及农村公路用地范围内摆摊设点、堆放物品、倾倒垃圾、设置障碍、挖沟引水、利用公路边沟排放污物或进行其他损坏、污染公路和影响公路畅通活动的处罚</w:t>
            </w:r>
          </w:p>
        </w:tc>
        <w:tc>
          <w:tcPr>
            <w:tcW w:w="2123" w:type="dxa"/>
            <w:shd w:val="clear" w:color="auto" w:fill="auto"/>
            <w:noWrap w:val="0"/>
            <w:vAlign w:val="center"/>
          </w:tcPr>
          <w:p w14:paraId="0CD25AC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239E3EAA">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《中华人民共和国公路法》第四十六条、第七十七条</w:t>
            </w:r>
          </w:p>
          <w:p w14:paraId="7339BCA3">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《公路安全保护条例》第十六条第二款、第六十九条</w:t>
            </w:r>
          </w:p>
          <w:p w14:paraId="721A70D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《福建省公路路政管理条例》第二十九条</w:t>
            </w:r>
          </w:p>
        </w:tc>
        <w:tc>
          <w:tcPr>
            <w:tcW w:w="2096" w:type="dxa"/>
            <w:noWrap w:val="0"/>
            <w:vAlign w:val="center"/>
          </w:tcPr>
          <w:p w14:paraId="6DEE5E99">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4F8F59DF">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61A85F13">
            <w:pPr>
              <w:jc w:val="center"/>
              <w:rPr>
                <w:rFonts w:hint="eastAsia" w:ascii="仿宋_GB2312" w:hAnsi="仿宋_GB2312" w:eastAsia="仿宋_GB2312" w:cs="仿宋_GB2312"/>
                <w:sz w:val="21"/>
                <w:szCs w:val="21"/>
              </w:rPr>
            </w:pPr>
          </w:p>
        </w:tc>
      </w:tr>
      <w:tr w14:paraId="2D53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3659C29B">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D010157">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对在农村公路建筑控制区内修建（改建、扩建）建筑物、地面构筑物的处罚</w:t>
            </w:r>
          </w:p>
        </w:tc>
        <w:tc>
          <w:tcPr>
            <w:tcW w:w="2123" w:type="dxa"/>
            <w:shd w:val="clear" w:color="auto" w:fill="auto"/>
            <w:noWrap w:val="0"/>
            <w:vAlign w:val="center"/>
          </w:tcPr>
          <w:p w14:paraId="1F625C3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12B25F7B">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《中华人民共和国公路法》第五十六条、第八十一条</w:t>
            </w:r>
          </w:p>
          <w:p w14:paraId="0EDE71B6">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《公路安全保护条例》第五十六条</w:t>
            </w:r>
          </w:p>
          <w:p w14:paraId="64374CE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《福建省公路路政管理条例》第二十九条</w:t>
            </w:r>
          </w:p>
        </w:tc>
        <w:tc>
          <w:tcPr>
            <w:tcW w:w="2096" w:type="dxa"/>
            <w:noWrap w:val="0"/>
            <w:vAlign w:val="center"/>
          </w:tcPr>
          <w:p w14:paraId="61148C39">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2C0AEB63">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BE4D66D">
            <w:pPr>
              <w:jc w:val="center"/>
              <w:rPr>
                <w:rFonts w:hint="eastAsia" w:ascii="仿宋_GB2312" w:hAnsi="仿宋_GB2312" w:eastAsia="仿宋_GB2312" w:cs="仿宋_GB2312"/>
                <w:sz w:val="21"/>
                <w:szCs w:val="21"/>
              </w:rPr>
            </w:pPr>
          </w:p>
        </w:tc>
      </w:tr>
      <w:tr w14:paraId="5A3A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BFB3F6E">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1BAFBAF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对利用农村公路桥梁、公路隧道、涵洞堆放物品、搭建设施以及铺设高压电线和输送易燃、易爆或者其他有毒有害气体、液体的管道的处罚</w:t>
            </w:r>
          </w:p>
        </w:tc>
        <w:tc>
          <w:tcPr>
            <w:tcW w:w="2123" w:type="dxa"/>
            <w:shd w:val="clear" w:color="auto" w:fill="auto"/>
            <w:noWrap w:val="0"/>
            <w:vAlign w:val="center"/>
          </w:tcPr>
          <w:p w14:paraId="728880B8">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0CF6A7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《公路安全保护条例》第二十二条第二款、第五十九条</w:t>
            </w:r>
          </w:p>
        </w:tc>
        <w:tc>
          <w:tcPr>
            <w:tcW w:w="2096" w:type="dxa"/>
            <w:noWrap w:val="0"/>
            <w:vAlign w:val="center"/>
          </w:tcPr>
          <w:p w14:paraId="488425CC">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1193D8B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4F6ED701">
            <w:pPr>
              <w:jc w:val="center"/>
              <w:rPr>
                <w:rFonts w:hint="eastAsia" w:ascii="仿宋_GB2312" w:hAnsi="仿宋_GB2312" w:eastAsia="仿宋_GB2312" w:cs="仿宋_GB2312"/>
                <w:sz w:val="21"/>
                <w:szCs w:val="21"/>
              </w:rPr>
            </w:pPr>
          </w:p>
        </w:tc>
      </w:tr>
      <w:tr w14:paraId="0E4E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343D36A7">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357C28A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对零售经营者变更零售点名称、主要负责人或者经营场所,未重新办理零售许可证的处罚</w:t>
            </w:r>
          </w:p>
        </w:tc>
        <w:tc>
          <w:tcPr>
            <w:tcW w:w="2123" w:type="dxa"/>
            <w:shd w:val="clear" w:color="auto" w:fill="auto"/>
            <w:noWrap w:val="0"/>
            <w:vAlign w:val="center"/>
          </w:tcPr>
          <w:p w14:paraId="24CC22D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0E3697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《烟花爆竹经营许可实施办法》第三十五条</w:t>
            </w:r>
          </w:p>
        </w:tc>
        <w:tc>
          <w:tcPr>
            <w:tcW w:w="2096" w:type="dxa"/>
            <w:noWrap w:val="0"/>
            <w:vAlign w:val="center"/>
          </w:tcPr>
          <w:p w14:paraId="000B49BF">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B116902">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52A45375">
            <w:pPr>
              <w:jc w:val="center"/>
              <w:rPr>
                <w:rFonts w:hint="eastAsia" w:ascii="仿宋_GB2312" w:hAnsi="仿宋_GB2312" w:eastAsia="仿宋_GB2312" w:cs="仿宋_GB2312"/>
                <w:sz w:val="21"/>
                <w:szCs w:val="21"/>
              </w:rPr>
            </w:pPr>
          </w:p>
        </w:tc>
      </w:tr>
      <w:tr w14:paraId="3602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E404F97">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6996D62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对冒用或者使用伪造的烟花爆竹经营（零售）许可证的处罚</w:t>
            </w:r>
          </w:p>
        </w:tc>
        <w:tc>
          <w:tcPr>
            <w:tcW w:w="2123" w:type="dxa"/>
            <w:shd w:val="clear" w:color="auto" w:fill="auto"/>
            <w:noWrap w:val="0"/>
            <w:vAlign w:val="center"/>
          </w:tcPr>
          <w:p w14:paraId="3D71029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2C31F10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《烟花爆竹经营许可实施办法》第三十六条</w:t>
            </w:r>
          </w:p>
        </w:tc>
        <w:tc>
          <w:tcPr>
            <w:tcW w:w="2096" w:type="dxa"/>
            <w:noWrap w:val="0"/>
            <w:vAlign w:val="center"/>
          </w:tcPr>
          <w:p w14:paraId="63A71B8F">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12A06EC">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6DD70033">
            <w:pPr>
              <w:jc w:val="center"/>
              <w:rPr>
                <w:rFonts w:hint="eastAsia" w:ascii="仿宋_GB2312" w:hAnsi="仿宋_GB2312" w:eastAsia="仿宋_GB2312" w:cs="仿宋_GB2312"/>
                <w:sz w:val="21"/>
                <w:szCs w:val="21"/>
              </w:rPr>
            </w:pPr>
          </w:p>
        </w:tc>
      </w:tr>
      <w:tr w14:paraId="2A7C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E7AA1B2">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309AE8A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对占用、堵塞、封闭疏散通道、安全出口或者有其他妨碍安全疏散行为的处罚</w:t>
            </w:r>
          </w:p>
        </w:tc>
        <w:tc>
          <w:tcPr>
            <w:tcW w:w="2123" w:type="dxa"/>
            <w:shd w:val="clear" w:color="auto" w:fill="auto"/>
            <w:noWrap w:val="0"/>
            <w:vAlign w:val="center"/>
          </w:tcPr>
          <w:p w14:paraId="7FEFCB12">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C8EEF7F">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《中华人民共和国消防法》第六十条</w:t>
            </w:r>
          </w:p>
        </w:tc>
        <w:tc>
          <w:tcPr>
            <w:tcW w:w="2096" w:type="dxa"/>
            <w:noWrap w:val="0"/>
            <w:vAlign w:val="center"/>
          </w:tcPr>
          <w:p w14:paraId="5F310DC7">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86C935D">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4C78825">
            <w:pPr>
              <w:jc w:val="center"/>
              <w:rPr>
                <w:rFonts w:hint="eastAsia" w:ascii="仿宋_GB2312" w:hAnsi="仿宋_GB2312" w:eastAsia="仿宋_GB2312" w:cs="仿宋_GB2312"/>
                <w:sz w:val="21"/>
                <w:szCs w:val="21"/>
              </w:rPr>
            </w:pPr>
          </w:p>
        </w:tc>
      </w:tr>
      <w:tr w14:paraId="1418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59DE8BF">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3B64E9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对占用、堵塞、封闭消防车通道的处罚</w:t>
            </w:r>
          </w:p>
        </w:tc>
        <w:tc>
          <w:tcPr>
            <w:tcW w:w="2123" w:type="dxa"/>
            <w:shd w:val="clear" w:color="auto" w:fill="auto"/>
            <w:noWrap w:val="0"/>
            <w:vAlign w:val="center"/>
          </w:tcPr>
          <w:p w14:paraId="40A12D2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75ACBAF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《中华人民共和国消防法》第六十条</w:t>
            </w:r>
          </w:p>
        </w:tc>
        <w:tc>
          <w:tcPr>
            <w:tcW w:w="2096" w:type="dxa"/>
            <w:noWrap w:val="0"/>
            <w:vAlign w:val="center"/>
          </w:tcPr>
          <w:p w14:paraId="2492F074">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7ECFE553">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C758875">
            <w:pPr>
              <w:jc w:val="center"/>
              <w:rPr>
                <w:rFonts w:hint="eastAsia" w:ascii="仿宋_GB2312" w:hAnsi="仿宋_GB2312" w:eastAsia="仿宋_GB2312" w:cs="仿宋_GB2312"/>
                <w:sz w:val="21"/>
                <w:szCs w:val="21"/>
              </w:rPr>
            </w:pPr>
          </w:p>
        </w:tc>
      </w:tr>
      <w:tr w14:paraId="6493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569BD30">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71F41CAC">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对生产、储存、经营易燃易爆危险品的场所与居住场所设置在同一建筑物内的处罚</w:t>
            </w:r>
          </w:p>
        </w:tc>
        <w:tc>
          <w:tcPr>
            <w:tcW w:w="2123" w:type="dxa"/>
            <w:shd w:val="clear" w:color="auto" w:fill="auto"/>
            <w:noWrap w:val="0"/>
            <w:vAlign w:val="center"/>
          </w:tcPr>
          <w:p w14:paraId="1074D383">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0E5F86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《中华人民共和国消防法》第六十一条</w:t>
            </w:r>
          </w:p>
        </w:tc>
        <w:tc>
          <w:tcPr>
            <w:tcW w:w="2096" w:type="dxa"/>
            <w:noWrap w:val="0"/>
            <w:vAlign w:val="center"/>
          </w:tcPr>
          <w:p w14:paraId="7B6B1CF6">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4B9049AB">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03854CCE">
            <w:pPr>
              <w:jc w:val="center"/>
              <w:rPr>
                <w:rFonts w:hint="eastAsia" w:ascii="仿宋_GB2312" w:hAnsi="仿宋_GB2312" w:eastAsia="仿宋_GB2312" w:cs="仿宋_GB2312"/>
                <w:sz w:val="21"/>
                <w:szCs w:val="21"/>
              </w:rPr>
            </w:pPr>
          </w:p>
        </w:tc>
      </w:tr>
      <w:tr w14:paraId="6489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3CAD8D35">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2DC3434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对生产、储存、经营其他物品的场所与居住场所设置在同一建筑物内，不符合消防技术标准的处罚</w:t>
            </w:r>
          </w:p>
        </w:tc>
        <w:tc>
          <w:tcPr>
            <w:tcW w:w="2123" w:type="dxa"/>
            <w:shd w:val="clear" w:color="auto" w:fill="auto"/>
            <w:noWrap w:val="0"/>
            <w:vAlign w:val="center"/>
          </w:tcPr>
          <w:p w14:paraId="748F698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1597FF6">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《中华人民共和国消防法》第六十一条</w:t>
            </w:r>
          </w:p>
        </w:tc>
        <w:tc>
          <w:tcPr>
            <w:tcW w:w="2096" w:type="dxa"/>
            <w:noWrap w:val="0"/>
            <w:vAlign w:val="center"/>
          </w:tcPr>
          <w:p w14:paraId="54040CD4">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1DE8BD2B">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7041AF35">
            <w:pPr>
              <w:jc w:val="center"/>
              <w:rPr>
                <w:rFonts w:hint="eastAsia" w:ascii="仿宋_GB2312" w:hAnsi="仿宋_GB2312" w:eastAsia="仿宋_GB2312" w:cs="仿宋_GB2312"/>
                <w:sz w:val="21"/>
                <w:szCs w:val="21"/>
              </w:rPr>
            </w:pPr>
          </w:p>
        </w:tc>
      </w:tr>
      <w:tr w14:paraId="0184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208AF94">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063F87C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对在具有火灾、爆炸危险的场所吸烟、使用明火的处罚</w:t>
            </w:r>
          </w:p>
        </w:tc>
        <w:tc>
          <w:tcPr>
            <w:tcW w:w="2123" w:type="dxa"/>
            <w:shd w:val="clear" w:color="auto" w:fill="auto"/>
            <w:noWrap w:val="0"/>
            <w:vAlign w:val="center"/>
          </w:tcPr>
          <w:p w14:paraId="00BE910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5FE006A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《中华人民共和国消防法》第六十三条</w:t>
            </w:r>
          </w:p>
        </w:tc>
        <w:tc>
          <w:tcPr>
            <w:tcW w:w="2096" w:type="dxa"/>
            <w:noWrap w:val="0"/>
            <w:vAlign w:val="center"/>
          </w:tcPr>
          <w:p w14:paraId="4FD8F2DA">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61DB735B">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20D8C18C">
            <w:pPr>
              <w:jc w:val="center"/>
              <w:rPr>
                <w:rFonts w:hint="eastAsia" w:ascii="仿宋_GB2312" w:hAnsi="仿宋_GB2312" w:eastAsia="仿宋_GB2312" w:cs="仿宋_GB2312"/>
                <w:sz w:val="21"/>
                <w:szCs w:val="21"/>
              </w:rPr>
            </w:pPr>
          </w:p>
        </w:tc>
      </w:tr>
      <w:tr w14:paraId="0F7C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B9C1039">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9ED046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对占用消防车登高场地的处罚</w:t>
            </w:r>
          </w:p>
        </w:tc>
        <w:tc>
          <w:tcPr>
            <w:tcW w:w="2123" w:type="dxa"/>
            <w:shd w:val="clear" w:color="auto" w:fill="auto"/>
            <w:noWrap w:val="0"/>
            <w:vAlign w:val="center"/>
          </w:tcPr>
          <w:p w14:paraId="31AEDE5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47D9B5ED">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《福建省消防条例》第五十八条</w:t>
            </w:r>
          </w:p>
        </w:tc>
        <w:tc>
          <w:tcPr>
            <w:tcW w:w="2096" w:type="dxa"/>
            <w:noWrap w:val="0"/>
            <w:vAlign w:val="center"/>
          </w:tcPr>
          <w:p w14:paraId="09D3DDFC">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338960C3">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32CF36C4">
            <w:pPr>
              <w:jc w:val="center"/>
              <w:rPr>
                <w:rFonts w:hint="eastAsia" w:ascii="仿宋_GB2312" w:hAnsi="仿宋_GB2312" w:eastAsia="仿宋_GB2312" w:cs="仿宋_GB2312"/>
                <w:sz w:val="21"/>
                <w:szCs w:val="21"/>
              </w:rPr>
            </w:pPr>
          </w:p>
        </w:tc>
      </w:tr>
      <w:tr w14:paraId="593D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EAD2299">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4E938794">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对在高层民用建筑的公共门厅、疏散走道、楼梯间、安全出口停放电动自行车或者为电动自行车充电拒不改正的处罚</w:t>
            </w:r>
          </w:p>
        </w:tc>
        <w:tc>
          <w:tcPr>
            <w:tcW w:w="2123" w:type="dxa"/>
            <w:shd w:val="clear" w:color="auto" w:fill="auto"/>
            <w:noWrap w:val="0"/>
            <w:vAlign w:val="center"/>
          </w:tcPr>
          <w:p w14:paraId="5BEA3159">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3D942035">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《高层民用建筑消防安全管理规定》第四十七条</w:t>
            </w:r>
          </w:p>
        </w:tc>
        <w:tc>
          <w:tcPr>
            <w:tcW w:w="2096" w:type="dxa"/>
            <w:noWrap w:val="0"/>
            <w:vAlign w:val="center"/>
          </w:tcPr>
          <w:p w14:paraId="6EDA903C">
            <w:pPr>
              <w:jc w:val="center"/>
              <w:rPr>
                <w:rFonts w:hint="eastAsia" w:ascii="仿宋_GB2312" w:hAnsi="仿宋_GB2312" w:eastAsia="仿宋_GB2312" w:cs="仿宋_GB2312"/>
                <w:sz w:val="21"/>
                <w:szCs w:val="21"/>
              </w:rPr>
            </w:pPr>
            <w:r>
              <w:rPr>
                <w:rFonts w:hint="default" w:ascii="仿宋_GB2312" w:hAnsi="仿宋_GB2312" w:eastAsia="仿宋_GB2312" w:cs="仿宋_GB2312"/>
                <w:sz w:val="21"/>
                <w:szCs w:val="21"/>
                <w:lang w:val="en-US" w:eastAsia="zh-CN"/>
              </w:rPr>
              <w:t>龙岩市永定区高头镇人民政府</w:t>
            </w:r>
          </w:p>
        </w:tc>
        <w:tc>
          <w:tcPr>
            <w:tcW w:w="2224" w:type="dxa"/>
            <w:shd w:val="clear" w:color="auto" w:fill="auto"/>
            <w:noWrap w:val="0"/>
            <w:vAlign w:val="center"/>
          </w:tcPr>
          <w:p w14:paraId="126BAF8A">
            <w:pPr>
              <w:jc w:val="center"/>
              <w:rPr>
                <w:rFonts w:hint="eastAsia" w:ascii="仿宋_GB2312" w:hAnsi="仿宋_GB2312" w:eastAsia="仿宋_GB2312" w:cs="仿宋_GB2312"/>
                <w:kern w:val="2"/>
                <w:sz w:val="21"/>
                <w:szCs w:val="21"/>
                <w:lang w:val="en-US" w:eastAsia="zh-CN" w:bidi="ar-SA"/>
              </w:rPr>
            </w:pPr>
            <w:r>
              <w:rPr>
                <w:rFonts w:hint="default" w:ascii="仿宋_GB2312" w:hAnsi="仿宋_GB2312" w:eastAsia="仿宋_GB2312" w:cs="仿宋_GB2312"/>
                <w:sz w:val="21"/>
                <w:szCs w:val="21"/>
                <w:lang w:val="en-US" w:eastAsia="zh-CN"/>
              </w:rPr>
              <w:t>龙岩市永定区高头镇人民政府</w:t>
            </w:r>
          </w:p>
        </w:tc>
        <w:tc>
          <w:tcPr>
            <w:tcW w:w="1826" w:type="dxa"/>
            <w:noWrap w:val="0"/>
            <w:vAlign w:val="center"/>
          </w:tcPr>
          <w:p w14:paraId="46CBEF5F">
            <w:pPr>
              <w:jc w:val="center"/>
              <w:rPr>
                <w:rFonts w:hint="eastAsia" w:ascii="仿宋_GB2312" w:hAnsi="仿宋_GB2312" w:eastAsia="仿宋_GB2312" w:cs="仿宋_GB2312"/>
                <w:sz w:val="21"/>
                <w:szCs w:val="21"/>
              </w:rPr>
            </w:pPr>
          </w:p>
        </w:tc>
      </w:tr>
      <w:tr w14:paraId="7D7C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30471BA9">
            <w:pPr>
              <w:numPr>
                <w:ilvl w:val="0"/>
                <w:numId w:val="1"/>
              </w:numPr>
              <w:ind w:left="0" w:leftChars="0" w:firstLine="403" w:firstLineChars="0"/>
              <w:jc w:val="center"/>
              <w:rPr>
                <w:rFonts w:hint="eastAsia" w:ascii="仿宋_GB2312" w:hAnsi="仿宋_GB2312" w:eastAsia="仿宋_GB2312" w:cs="仿宋_GB2312"/>
                <w:sz w:val="21"/>
                <w:szCs w:val="21"/>
              </w:rPr>
            </w:pPr>
          </w:p>
        </w:tc>
        <w:tc>
          <w:tcPr>
            <w:tcW w:w="2557" w:type="dxa"/>
            <w:shd w:val="clear" w:color="auto" w:fill="auto"/>
            <w:noWrap w:val="0"/>
            <w:vAlign w:val="center"/>
          </w:tcPr>
          <w:p w14:paraId="733B167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对宗教活动场拒不接受行政管理机关依法实施的监督管理的处罚</w:t>
            </w:r>
          </w:p>
        </w:tc>
        <w:tc>
          <w:tcPr>
            <w:tcW w:w="2123" w:type="dxa"/>
            <w:shd w:val="clear" w:color="auto" w:fill="auto"/>
            <w:noWrap w:val="0"/>
            <w:vAlign w:val="center"/>
          </w:tcPr>
          <w:p w14:paraId="2A52D57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行政处罚</w:t>
            </w:r>
          </w:p>
        </w:tc>
        <w:tc>
          <w:tcPr>
            <w:tcW w:w="2160" w:type="dxa"/>
            <w:shd w:val="clear" w:color="auto" w:fill="auto"/>
            <w:noWrap w:val="0"/>
            <w:vAlign w:val="center"/>
          </w:tcPr>
          <w:p w14:paraId="0E9BA147">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《宗教事务条例》第六十五条</w:t>
            </w:r>
          </w:p>
        </w:tc>
        <w:tc>
          <w:tcPr>
            <w:tcW w:w="2096" w:type="dxa"/>
            <w:noWrap w:val="0"/>
            <w:vAlign w:val="center"/>
          </w:tcPr>
          <w:p w14:paraId="3953F251">
            <w:pPr>
              <w:jc w:val="center"/>
              <w:rPr>
                <w:rFonts w:hint="eastAsia" w:ascii="仿宋_GB2312" w:hAnsi="仿宋_GB2312" w:eastAsia="仿宋_GB2312" w:cs="仿宋_GB2312"/>
                <w:sz w:val="21"/>
                <w:szCs w:val="21"/>
              </w:rPr>
            </w:pPr>
          </w:p>
        </w:tc>
        <w:tc>
          <w:tcPr>
            <w:tcW w:w="2224" w:type="dxa"/>
            <w:shd w:val="clear" w:color="auto" w:fill="auto"/>
            <w:noWrap w:val="0"/>
            <w:vAlign w:val="center"/>
          </w:tcPr>
          <w:p w14:paraId="32F50923">
            <w:pPr>
              <w:jc w:val="center"/>
              <w:rPr>
                <w:rFonts w:hint="eastAsia" w:ascii="仿宋_GB2312" w:hAnsi="仿宋_GB2312" w:eastAsia="仿宋_GB2312" w:cs="仿宋_GB2312"/>
                <w:kern w:val="2"/>
                <w:sz w:val="21"/>
                <w:szCs w:val="21"/>
                <w:lang w:val="en-US" w:eastAsia="zh-CN" w:bidi="ar-SA"/>
              </w:rPr>
            </w:pPr>
          </w:p>
        </w:tc>
        <w:tc>
          <w:tcPr>
            <w:tcW w:w="1826" w:type="dxa"/>
            <w:noWrap w:val="0"/>
            <w:vAlign w:val="center"/>
          </w:tcPr>
          <w:p w14:paraId="33D247D8">
            <w:pPr>
              <w:jc w:val="center"/>
              <w:rPr>
                <w:rFonts w:hint="eastAsia" w:ascii="仿宋_GB2312" w:hAnsi="仿宋_GB2312" w:eastAsia="仿宋_GB2312" w:cs="仿宋_GB2312"/>
                <w:sz w:val="21"/>
                <w:szCs w:val="21"/>
              </w:rPr>
            </w:pPr>
          </w:p>
        </w:tc>
      </w:tr>
    </w:tbl>
    <w:p w14:paraId="6EEE1D9A">
      <w:bookmarkStart w:id="0" w:name="_GoBack"/>
      <w:bookmarkEnd w:id="0"/>
    </w:p>
    <w:sectPr>
      <w:headerReference r:id="rId3" w:type="default"/>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8AF6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BDF9DC">
                          <w:pPr>
                            <w:pStyle w:val="2"/>
                            <w:rPr>
                              <w:rStyle w:val="7"/>
                              <w:rFonts w:hint="eastAsia" w:ascii="宋体" w:hAnsi="宋体" w:eastAsia="宋体" w:cs="宋体"/>
                              <w:sz w:val="28"/>
                              <w:szCs w:val="28"/>
                            </w:rPr>
                          </w:pPr>
                          <w:r>
                            <w:rPr>
                              <w:rStyle w:val="7"/>
                              <w:rFonts w:hint="eastAsia" w:ascii="宋体" w:hAnsi="宋体" w:eastAsia="宋体" w:cs="宋体"/>
                              <w:sz w:val="28"/>
                              <w:szCs w:val="28"/>
                            </w:rPr>
                            <w:fldChar w:fldCharType="begin"/>
                          </w:r>
                          <w:r>
                            <w:rPr>
                              <w:rStyle w:val="7"/>
                              <w:rFonts w:hint="eastAsia" w:ascii="宋体" w:hAnsi="宋体" w:eastAsia="宋体" w:cs="宋体"/>
                              <w:sz w:val="28"/>
                              <w:szCs w:val="28"/>
                            </w:rPr>
                            <w:instrText xml:space="preserve">PAGE  </w:instrText>
                          </w:r>
                          <w:r>
                            <w:rPr>
                              <w:rStyle w:val="7"/>
                              <w:rFonts w:hint="eastAsia" w:ascii="宋体" w:hAnsi="宋体" w:eastAsia="宋体" w:cs="宋体"/>
                              <w:sz w:val="28"/>
                              <w:szCs w:val="28"/>
                            </w:rPr>
                            <w:fldChar w:fldCharType="separate"/>
                          </w:r>
                          <w:r>
                            <w:rPr>
                              <w:rStyle w:val="7"/>
                              <w:rFonts w:hint="eastAsia" w:ascii="宋体" w:hAnsi="宋体" w:eastAsia="宋体" w:cs="宋体"/>
                              <w:sz w:val="28"/>
                              <w:szCs w:val="28"/>
                            </w:rPr>
                            <w:t>2</w:t>
                          </w:r>
                          <w:r>
                            <w:rPr>
                              <w:rStyle w:val="7"/>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ABDF9DC">
                    <w:pPr>
                      <w:pStyle w:val="2"/>
                      <w:rPr>
                        <w:rStyle w:val="7"/>
                        <w:rFonts w:hint="eastAsia" w:ascii="宋体" w:hAnsi="宋体" w:eastAsia="宋体" w:cs="宋体"/>
                        <w:sz w:val="28"/>
                        <w:szCs w:val="28"/>
                      </w:rPr>
                    </w:pPr>
                    <w:r>
                      <w:rPr>
                        <w:rStyle w:val="7"/>
                        <w:rFonts w:hint="eastAsia" w:ascii="宋体" w:hAnsi="宋体" w:eastAsia="宋体" w:cs="宋体"/>
                        <w:sz w:val="28"/>
                        <w:szCs w:val="28"/>
                      </w:rPr>
                      <w:fldChar w:fldCharType="begin"/>
                    </w:r>
                    <w:r>
                      <w:rPr>
                        <w:rStyle w:val="7"/>
                        <w:rFonts w:hint="eastAsia" w:ascii="宋体" w:hAnsi="宋体" w:eastAsia="宋体" w:cs="宋体"/>
                        <w:sz w:val="28"/>
                        <w:szCs w:val="28"/>
                      </w:rPr>
                      <w:instrText xml:space="preserve">PAGE  </w:instrText>
                    </w:r>
                    <w:r>
                      <w:rPr>
                        <w:rStyle w:val="7"/>
                        <w:rFonts w:hint="eastAsia" w:ascii="宋体" w:hAnsi="宋体" w:eastAsia="宋体" w:cs="宋体"/>
                        <w:sz w:val="28"/>
                        <w:szCs w:val="28"/>
                      </w:rPr>
                      <w:fldChar w:fldCharType="separate"/>
                    </w:r>
                    <w:r>
                      <w:rPr>
                        <w:rStyle w:val="7"/>
                        <w:rFonts w:hint="eastAsia" w:ascii="宋体" w:hAnsi="宋体" w:eastAsia="宋体" w:cs="宋体"/>
                        <w:sz w:val="28"/>
                        <w:szCs w:val="28"/>
                      </w:rPr>
                      <w:t>2</w:t>
                    </w:r>
                    <w:r>
                      <w:rPr>
                        <w:rStyle w:val="7"/>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6310D">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3830E2"/>
    <w:multiLevelType w:val="singleLevel"/>
    <w:tmpl w:val="293830E2"/>
    <w:lvl w:ilvl="0" w:tentative="0">
      <w:start w:val="1"/>
      <w:numFmt w:val="decimal"/>
      <w:suff w:val="nothing"/>
      <w:lvlText w:val="%1"/>
      <w:lvlJc w:val="left"/>
      <w:pPr>
        <w:ind w:left="0" w:firstLine="40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mMWE2NTY3ODA0ODg1YTc3ZGM3M2UzYWM1YTRiMmMifQ=="/>
  </w:docVars>
  <w:rsids>
    <w:rsidRoot w:val="00172A27"/>
    <w:rsid w:val="1B580782"/>
    <w:rsid w:val="290E3E8B"/>
    <w:rsid w:val="2C83541E"/>
    <w:rsid w:val="2CA72853"/>
    <w:rsid w:val="6DDB5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9393</Words>
  <Characters>9400</Characters>
  <Lines>0</Lines>
  <Paragraphs>0</Paragraphs>
  <TotalTime>3</TotalTime>
  <ScaleCrop>false</ScaleCrop>
  <LinksUpToDate>false</LinksUpToDate>
  <CharactersWithSpaces>9411</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2025-02-19T01:02:00Z</dcterms:created>
  <dc:creator>piapia～dadadada</dc:creator>
  <cp:lastModifiedBy>Administrator</cp:lastModifiedBy>
  <dcterms:modified xsi:type="dcterms:W3CDTF">2025-02-28T01:06:23Z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561073AA31444486942CB0098F3189E0_13</vt:lpwstr>
  </property>
  <property fmtid="{D5CDD505-2E9C-101B-9397-08002B2CF9AE}" pid="4" name="KSOTemplateDocerSaveRecord">
    <vt:lpwstr>eyJoZGlkIjoiZDQ3Y2NjZDRjMGE0ZWUwMGJkMzBiMzM2YjFlNzZhYzUiLCJ1c2VySWQiOiIxMjA4MDU2Mzc1In0=</vt:lpwstr>
  </property>
</Properties>
</file>