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凤街办〔2023〕46号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宋体" w:hAnsi="宋体" w:eastAsia="宋体"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关于做好2024年城乡居民基本医疗保险</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基金征缴工作的通知</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 w:hAnsi="仿宋" w:eastAsia="仿宋" w:cs="仿宋"/>
          <w:sz w:val="28"/>
          <w:szCs w:val="28"/>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各社区居委会、街道相关部门：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为推动全街道城乡居民基本医疗保险基金集中征缴工作平稳有序落地，实现应保尽保，根据各级城乡居民基本医疗保障文件精神，结合我街道实际，现就做好我街道2024年度城乡居民基本医疗保险（以下简称城乡居民医保）基金征缴工作有关事项通知如下：</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bidi="ar"/>
        </w:rPr>
        <w:t>1、准备阶段</w:t>
      </w:r>
      <w:r>
        <w:rPr>
          <w:rFonts w:hint="eastAsia" w:ascii="仿宋" w:hAnsi="仿宋" w:eastAsia="仿宋" w:cs="仿宋"/>
          <w:color w:val="000000"/>
          <w:kern w:val="0"/>
          <w:sz w:val="32"/>
          <w:szCs w:val="32"/>
          <w:lang w:eastAsia="zh-CN" w:bidi="ar"/>
        </w:rPr>
        <w:t>（</w:t>
      </w:r>
      <w:r>
        <w:rPr>
          <w:rFonts w:hint="eastAsia" w:ascii="仿宋" w:hAnsi="仿宋" w:eastAsia="仿宋" w:cs="仿宋"/>
          <w:color w:val="000000"/>
          <w:kern w:val="0"/>
          <w:sz w:val="32"/>
          <w:szCs w:val="32"/>
          <w:lang w:val="en-US" w:eastAsia="zh-CN" w:bidi="ar"/>
        </w:rPr>
        <w:t>2023年6月1日-8月31日）：各社区根据区医保局提供的2023年度凤城街道医保缴费数据与各社区医保信息台账进行比对完善，为后期医保征缴工作提供坚实的基础保障，同时将排查落实后的数据及时上报街道人社服务中心，便于人社服务中心在进入新一年度的医保缴费期前将医保信息更新完善。</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spacing w:val="0"/>
          <w:sz w:val="32"/>
          <w:szCs w:val="32"/>
          <w:lang w:bidi="ar"/>
        </w:rPr>
      </w:pPr>
      <w:r>
        <w:rPr>
          <w:rFonts w:hint="eastAsia" w:ascii="仿宋" w:hAnsi="仿宋" w:eastAsia="仿宋" w:cs="仿宋"/>
          <w:sz w:val="32"/>
          <w:szCs w:val="32"/>
          <w:lang w:bidi="ar"/>
        </w:rPr>
        <w:t>2、发动阶段</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2023年9月1日-12月31日）：</w:t>
      </w:r>
      <w:r>
        <w:rPr>
          <w:rFonts w:hint="eastAsia" w:ascii="仿宋" w:hAnsi="仿宋" w:eastAsia="仿宋" w:cs="仿宋"/>
          <w:color w:val="000000"/>
          <w:kern w:val="0"/>
          <w:sz w:val="32"/>
          <w:szCs w:val="32"/>
          <w:lang w:val="en-US" w:eastAsia="zh-CN" w:bidi="ar"/>
        </w:rPr>
        <w:t>根据上级下发的医保缴费任务分解下达2024年度各社区医保征缴任务。</w:t>
      </w:r>
      <w:r>
        <w:rPr>
          <w:rFonts w:hint="eastAsia" w:ascii="仿宋" w:hAnsi="仿宋" w:eastAsia="仿宋" w:cs="仿宋"/>
          <w:sz w:val="32"/>
          <w:szCs w:val="32"/>
          <w:lang w:bidi="ar"/>
        </w:rPr>
        <w:t>各社区</w:t>
      </w:r>
      <w:r>
        <w:rPr>
          <w:rFonts w:hint="eastAsia" w:ascii="仿宋" w:hAnsi="仿宋" w:eastAsia="仿宋" w:cs="仿宋"/>
          <w:sz w:val="32"/>
          <w:szCs w:val="32"/>
          <w:lang w:val="en-US" w:eastAsia="zh-CN" w:bidi="ar"/>
        </w:rPr>
        <w:t>充分</w:t>
      </w:r>
      <w:r>
        <w:rPr>
          <w:rFonts w:hint="eastAsia" w:ascii="仿宋" w:hAnsi="仿宋" w:eastAsia="仿宋" w:cs="仿宋"/>
          <w:sz w:val="32"/>
          <w:szCs w:val="32"/>
          <w:lang w:bidi="ar"/>
        </w:rPr>
        <w:t>利用</w:t>
      </w:r>
      <w:r>
        <w:rPr>
          <w:rFonts w:hint="eastAsia" w:ascii="仿宋" w:hAnsi="仿宋" w:eastAsia="仿宋" w:cs="仿宋"/>
          <w:sz w:val="32"/>
          <w:szCs w:val="32"/>
          <w:lang w:val="en-US" w:eastAsia="zh-CN" w:bidi="ar"/>
        </w:rPr>
        <w:t>社区微信群、社区宣传栏、</w:t>
      </w:r>
      <w:r>
        <w:rPr>
          <w:rFonts w:hint="eastAsia" w:ascii="仿宋" w:hAnsi="仿宋" w:eastAsia="仿宋" w:cs="仿宋"/>
          <w:sz w:val="32"/>
          <w:szCs w:val="32"/>
          <w:lang w:bidi="ar"/>
        </w:rPr>
        <w:t>LED等</w:t>
      </w:r>
      <w:r>
        <w:rPr>
          <w:rFonts w:hint="eastAsia" w:ascii="仿宋" w:hAnsi="仿宋" w:eastAsia="仿宋" w:cs="仿宋"/>
          <w:sz w:val="32"/>
          <w:szCs w:val="32"/>
          <w:lang w:val="en-US" w:eastAsia="zh-CN" w:bidi="ar"/>
        </w:rPr>
        <w:t>媒介，广泛宣传发动做好城乡居民医保缴费的工作，做到应保尽保。同时结合常</w:t>
      </w:r>
      <w:r>
        <w:rPr>
          <w:rFonts w:hint="eastAsia" w:ascii="仿宋" w:hAnsi="仿宋" w:eastAsia="仿宋" w:cs="仿宋"/>
          <w:spacing w:val="0"/>
          <w:sz w:val="32"/>
          <w:szCs w:val="32"/>
          <w:lang w:val="en-US" w:eastAsia="zh-CN" w:bidi="ar"/>
        </w:rPr>
        <w:t>态化疫情防控需要，积极引导，辅导缴费人员“网上办、自助力、预约办、线上答”，将线上办理作为缴费服务的主渠道，通过手机端等方式缴纳城乡居民医保。及时跟踪反馈上报缴交数据。人社服务中心要及时</w:t>
      </w:r>
      <w:r>
        <w:rPr>
          <w:rFonts w:hint="eastAsia" w:ascii="仿宋" w:hAnsi="仿宋" w:eastAsia="仿宋" w:cs="仿宋"/>
          <w:spacing w:val="0"/>
          <w:sz w:val="32"/>
          <w:szCs w:val="32"/>
          <w:lang w:bidi="ar"/>
        </w:rPr>
        <w:t>与</w:t>
      </w:r>
      <w:r>
        <w:rPr>
          <w:rFonts w:hint="eastAsia" w:ascii="仿宋" w:hAnsi="仿宋" w:eastAsia="仿宋" w:cs="仿宋"/>
          <w:spacing w:val="0"/>
          <w:sz w:val="32"/>
          <w:szCs w:val="32"/>
          <w:lang w:val="en-US" w:eastAsia="zh-CN" w:bidi="ar"/>
        </w:rPr>
        <w:t>区医保局、</w:t>
      </w:r>
      <w:r>
        <w:rPr>
          <w:rFonts w:hint="eastAsia" w:ascii="仿宋" w:hAnsi="仿宋" w:eastAsia="仿宋" w:cs="仿宋"/>
          <w:spacing w:val="0"/>
          <w:sz w:val="32"/>
          <w:szCs w:val="32"/>
          <w:lang w:bidi="ar"/>
        </w:rPr>
        <w:t>税务</w:t>
      </w:r>
      <w:r>
        <w:rPr>
          <w:rFonts w:hint="eastAsia" w:ascii="仿宋" w:hAnsi="仿宋" w:eastAsia="仿宋" w:cs="仿宋"/>
          <w:spacing w:val="0"/>
          <w:sz w:val="32"/>
          <w:szCs w:val="32"/>
          <w:lang w:eastAsia="zh-CN" w:bidi="ar"/>
        </w:rPr>
        <w:t>、</w:t>
      </w:r>
      <w:r>
        <w:rPr>
          <w:rFonts w:hint="eastAsia" w:ascii="仿宋" w:hAnsi="仿宋" w:eastAsia="仿宋" w:cs="仿宋"/>
          <w:spacing w:val="0"/>
          <w:sz w:val="32"/>
          <w:szCs w:val="32"/>
          <w:lang w:val="en-US" w:eastAsia="zh-CN" w:bidi="ar"/>
        </w:rPr>
        <w:t>民政、卫健、残联等</w:t>
      </w:r>
      <w:r>
        <w:rPr>
          <w:rFonts w:hint="eastAsia" w:ascii="仿宋" w:hAnsi="仿宋" w:eastAsia="仿宋" w:cs="仿宋"/>
          <w:spacing w:val="0"/>
          <w:sz w:val="32"/>
          <w:szCs w:val="32"/>
          <w:lang w:bidi="ar"/>
        </w:rPr>
        <w:t>部门</w:t>
      </w:r>
      <w:r>
        <w:rPr>
          <w:rFonts w:hint="eastAsia" w:ascii="仿宋" w:hAnsi="仿宋" w:eastAsia="仿宋" w:cs="仿宋"/>
          <w:spacing w:val="0"/>
          <w:sz w:val="32"/>
          <w:szCs w:val="32"/>
          <w:lang w:val="en-US" w:eastAsia="zh-CN" w:bidi="ar"/>
        </w:rPr>
        <w:t>进行数据交互，动态管理台账</w:t>
      </w:r>
      <w:r>
        <w:rPr>
          <w:rFonts w:hint="eastAsia" w:ascii="仿宋" w:hAnsi="仿宋" w:eastAsia="仿宋" w:cs="仿宋"/>
          <w:spacing w:val="0"/>
          <w:sz w:val="32"/>
          <w:szCs w:val="32"/>
          <w:lang w:bidi="ar"/>
        </w:rPr>
        <w:t>，</w:t>
      </w:r>
      <w:r>
        <w:rPr>
          <w:rFonts w:hint="eastAsia" w:ascii="仿宋" w:hAnsi="仿宋" w:eastAsia="仿宋" w:cs="仿宋"/>
          <w:spacing w:val="0"/>
          <w:sz w:val="32"/>
          <w:szCs w:val="32"/>
          <w:lang w:val="en-US" w:eastAsia="zh-CN" w:bidi="ar"/>
        </w:rPr>
        <w:t>加强对参保缴费工作的跟踪、督促，定期对各社区征缴进度情况进行通报</w:t>
      </w:r>
      <w:r>
        <w:rPr>
          <w:rFonts w:hint="eastAsia" w:ascii="仿宋" w:hAnsi="仿宋" w:eastAsia="仿宋" w:cs="仿宋"/>
          <w:spacing w:val="0"/>
          <w:sz w:val="32"/>
          <w:szCs w:val="32"/>
          <w:lang w:bidi="ar"/>
        </w:rPr>
        <w:t>。</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spacing w:val="0"/>
          <w:sz w:val="32"/>
          <w:szCs w:val="32"/>
          <w:lang w:val="en-US" w:eastAsia="zh-CN" w:bidi="ar"/>
        </w:rPr>
      </w:pPr>
      <w:r>
        <w:rPr>
          <w:rFonts w:hint="eastAsia" w:ascii="仿宋" w:hAnsi="仿宋" w:eastAsia="仿宋" w:cs="仿宋"/>
          <w:color w:val="000000"/>
          <w:spacing w:val="0"/>
          <w:kern w:val="0"/>
          <w:sz w:val="32"/>
          <w:szCs w:val="32"/>
          <w:lang w:bidi="ar"/>
        </w:rPr>
        <w:t>３</w:t>
      </w:r>
      <w:r>
        <w:rPr>
          <w:rFonts w:hint="eastAsia" w:ascii="仿宋" w:hAnsi="仿宋" w:eastAsia="仿宋" w:cs="仿宋"/>
          <w:spacing w:val="0"/>
          <w:sz w:val="32"/>
          <w:szCs w:val="32"/>
          <w:lang w:bidi="ar"/>
        </w:rPr>
        <w:t>、冲刺阶段</w:t>
      </w:r>
      <w:r>
        <w:rPr>
          <w:rFonts w:hint="eastAsia" w:ascii="仿宋" w:hAnsi="仿宋" w:eastAsia="仿宋" w:cs="仿宋"/>
          <w:spacing w:val="0"/>
          <w:sz w:val="32"/>
          <w:szCs w:val="32"/>
          <w:lang w:eastAsia="zh-CN" w:bidi="ar"/>
        </w:rPr>
        <w:t>（</w:t>
      </w:r>
      <w:r>
        <w:rPr>
          <w:rFonts w:hint="eastAsia" w:ascii="仿宋" w:hAnsi="仿宋" w:eastAsia="仿宋" w:cs="仿宋"/>
          <w:spacing w:val="0"/>
          <w:sz w:val="32"/>
          <w:szCs w:val="32"/>
          <w:lang w:val="en-US" w:eastAsia="zh-CN" w:bidi="ar"/>
        </w:rPr>
        <w:t>2024年1月1日-2月29日）</w:t>
      </w:r>
      <w:r>
        <w:rPr>
          <w:rFonts w:hint="eastAsia" w:ascii="仿宋" w:hAnsi="仿宋" w:eastAsia="仿宋" w:cs="仿宋"/>
          <w:spacing w:val="0"/>
          <w:sz w:val="32"/>
          <w:szCs w:val="32"/>
          <w:lang w:bidi="ar"/>
        </w:rPr>
        <w:t>：各社区要</w:t>
      </w:r>
      <w:r>
        <w:rPr>
          <w:rFonts w:hint="eastAsia" w:ascii="仿宋" w:hAnsi="仿宋" w:eastAsia="仿宋" w:cs="仿宋"/>
          <w:spacing w:val="0"/>
          <w:sz w:val="32"/>
          <w:szCs w:val="32"/>
          <w:lang w:val="en-US" w:eastAsia="zh-CN" w:bidi="ar"/>
        </w:rPr>
        <w:t>根据征缴进度情况，按照</w:t>
      </w:r>
      <w:r>
        <w:rPr>
          <w:rFonts w:hint="eastAsia" w:ascii="仿宋" w:hAnsi="仿宋" w:eastAsia="仿宋" w:cs="仿宋"/>
          <w:spacing w:val="0"/>
          <w:sz w:val="32"/>
          <w:szCs w:val="32"/>
          <w:lang w:bidi="ar"/>
        </w:rPr>
        <w:t>医保</w:t>
      </w:r>
      <w:r>
        <w:rPr>
          <w:rFonts w:hint="eastAsia" w:ascii="仿宋" w:hAnsi="仿宋" w:eastAsia="仿宋" w:cs="仿宋"/>
          <w:spacing w:val="0"/>
          <w:sz w:val="32"/>
          <w:szCs w:val="32"/>
          <w:lang w:eastAsia="zh-CN" w:bidi="ar"/>
        </w:rPr>
        <w:t>台账</w:t>
      </w:r>
      <w:r>
        <w:rPr>
          <w:rFonts w:hint="eastAsia" w:ascii="仿宋" w:hAnsi="仿宋" w:eastAsia="仿宋" w:cs="仿宋"/>
          <w:spacing w:val="0"/>
          <w:sz w:val="32"/>
          <w:szCs w:val="32"/>
          <w:lang w:bidi="ar"/>
        </w:rPr>
        <w:t>进行精准催缴。具体分析未缴的原因，深入宣传</w:t>
      </w:r>
      <w:r>
        <w:rPr>
          <w:rFonts w:hint="eastAsia" w:ascii="仿宋" w:hAnsi="仿宋" w:eastAsia="仿宋" w:cs="仿宋"/>
          <w:spacing w:val="0"/>
          <w:sz w:val="32"/>
          <w:szCs w:val="32"/>
          <w:lang w:eastAsia="zh-CN" w:bidi="ar"/>
        </w:rPr>
        <w:t>，</w:t>
      </w:r>
      <w:r>
        <w:rPr>
          <w:rFonts w:hint="eastAsia" w:ascii="仿宋" w:hAnsi="仿宋" w:eastAsia="仿宋" w:cs="仿宋"/>
          <w:spacing w:val="0"/>
          <w:sz w:val="32"/>
          <w:szCs w:val="32"/>
          <w:lang w:val="en-US" w:eastAsia="zh-CN" w:bidi="ar"/>
        </w:rPr>
        <w:t>要重点关注失业人员、参军退役、服刑期满、受疫情影响导致生活困难等特殊人群的参保、缴费情况，为其提</w:t>
      </w:r>
      <w:bookmarkStart w:id="0" w:name="_GoBack"/>
      <w:bookmarkEnd w:id="0"/>
      <w:r>
        <w:rPr>
          <w:rFonts w:hint="eastAsia" w:ascii="仿宋" w:hAnsi="仿宋" w:eastAsia="仿宋" w:cs="仿宋"/>
          <w:spacing w:val="0"/>
          <w:sz w:val="32"/>
          <w:szCs w:val="32"/>
          <w:lang w:val="en-US" w:eastAsia="zh-CN" w:bidi="ar"/>
        </w:rPr>
        <w:t>供必要的上门服务。同时要注意收集、完善征缴过程中新的医保信息，及时更新上报给人社服务中心。</w:t>
      </w:r>
    </w:p>
    <w:p>
      <w:pPr>
        <w:keepNext w:val="0"/>
        <w:keepLines w:val="0"/>
        <w:pageBreakBefore w:val="0"/>
        <w:widowControl/>
        <w:numPr>
          <w:ilvl w:val="0"/>
          <w:numId w:val="0"/>
        </w:numPr>
        <w:suppressLineNumbers w:val="0"/>
        <w:tabs>
          <w:tab w:val="left" w:pos="409"/>
        </w:tabs>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bidi="ar"/>
        </w:rPr>
        <w:t>城乡居民医保征缴工作已纳入街道对社区年度绩效考评内容。各社区要高度重视，加强统筹协调，履行工作职责 ，把握时间节点，</w:t>
      </w:r>
      <w:r>
        <w:rPr>
          <w:rFonts w:hint="eastAsia" w:ascii="仿宋" w:hAnsi="仿宋" w:eastAsia="仿宋" w:cs="仿宋"/>
          <w:spacing w:val="0"/>
          <w:sz w:val="32"/>
          <w:szCs w:val="32"/>
          <w:lang w:val="en-US" w:eastAsia="zh-CN"/>
        </w:rPr>
        <w:t>各社区充分运用“分片包干、网格管理、责任到人”的模式，平稳有序推进城乡居民医保征缴的宣传、动员工作，确保完成年度征缴工作。</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spacing w:val="0"/>
          <w:sz w:val="32"/>
          <w:szCs w:val="32"/>
          <w:lang w:val="en-US" w:eastAsia="zh-CN" w:bidi="ar"/>
        </w:rPr>
      </w:pPr>
      <w:r>
        <w:rPr>
          <w:rFonts w:hint="eastAsia" w:ascii="仿宋" w:hAnsi="仿宋" w:eastAsia="仿宋" w:cs="仿宋"/>
          <w:spacing w:val="0"/>
          <w:sz w:val="32"/>
          <w:szCs w:val="32"/>
          <w:lang w:val="en-US" w:eastAsia="zh-CN" w:bidi="ar"/>
        </w:rPr>
        <w:t>附件一：2024年度凤城街道城乡居民医保缴费任务表</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default" w:ascii="仿宋" w:hAnsi="仿宋" w:eastAsia="仿宋" w:cs="仿宋"/>
          <w:spacing w:val="0"/>
          <w:sz w:val="32"/>
          <w:szCs w:val="32"/>
          <w:lang w:val="en-US" w:eastAsia="zh-CN" w:bidi="ar"/>
        </w:rPr>
      </w:pPr>
      <w:r>
        <w:rPr>
          <w:rFonts w:hint="eastAsia" w:ascii="仿宋" w:hAnsi="仿宋" w:eastAsia="仿宋" w:cs="仿宋"/>
          <w:spacing w:val="0"/>
          <w:sz w:val="32"/>
          <w:szCs w:val="32"/>
          <w:lang w:val="en-US" w:eastAsia="zh-CN" w:bidi="ar"/>
        </w:rPr>
        <w:t>附件二：医保缴费细则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right"/>
        <w:textAlignment w:val="auto"/>
        <w:rPr>
          <w:rFonts w:hint="eastAsia" w:ascii="仿宋" w:hAnsi="仿宋" w:eastAsia="仿宋" w:cs="仿宋"/>
          <w:spacing w:val="0"/>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right"/>
        <w:textAlignment w:val="auto"/>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right"/>
        <w:textAlignment w:val="auto"/>
        <w:rPr>
          <w:rFonts w:hint="eastAsia" w:ascii="仿宋" w:hAnsi="仿宋" w:eastAsia="仿宋" w:cs="仿宋"/>
          <w:spacing w:val="0"/>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center"/>
        <w:textAlignment w:val="auto"/>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 xml:space="preserve">                   龙岩市永定区人民政府凤城街道办事处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bCs/>
          <w:sz w:val="28"/>
          <w:szCs w:val="28"/>
          <w:lang w:val="en-US" w:eastAsia="zh-CN" w:bidi="ar"/>
        </w:rPr>
      </w:pPr>
      <w:r>
        <w:rPr>
          <w:rFonts w:hint="eastAsia" w:ascii="仿宋" w:hAnsi="仿宋" w:eastAsia="仿宋" w:cs="仿宋"/>
          <w:spacing w:val="0"/>
          <w:sz w:val="32"/>
          <w:szCs w:val="32"/>
          <w:lang w:val="en-US" w:eastAsia="zh-CN"/>
        </w:rPr>
        <w:t xml:space="preserve">                   2023年10月8日</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500" w:lineRule="exact"/>
        <w:jc w:val="both"/>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500" w:lineRule="exact"/>
        <w:ind w:firstLine="320" w:firstLineChars="100"/>
        <w:jc w:val="both"/>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00" w:lineRule="exact"/>
        <w:ind w:firstLine="320" w:firstLineChars="100"/>
        <w:jc w:val="both"/>
        <w:textAlignment w:val="auto"/>
        <w:rPr>
          <w:rFonts w:hint="eastAsia" w:ascii="仿宋" w:hAnsi="仿宋" w:eastAsia="仿宋" w:cs="仿宋"/>
          <w:b/>
          <w:bCs/>
          <w:sz w:val="28"/>
          <w:szCs w:val="28"/>
          <w:lang w:val="en-US" w:eastAsia="zh-CN" w:bidi="ar"/>
        </w:rPr>
      </w:pPr>
      <w:r>
        <w:rPr>
          <w:sz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4445</wp:posOffset>
                </wp:positionV>
                <wp:extent cx="5543550" cy="635"/>
                <wp:effectExtent l="0" t="0" r="0" b="0"/>
                <wp:wrapNone/>
                <wp:docPr id="1" name="直接连接符 1"/>
                <wp:cNvGraphicFramePr/>
                <a:graphic xmlns:a="http://schemas.openxmlformats.org/drawingml/2006/main">
                  <a:graphicData uri="http://schemas.microsoft.com/office/word/2010/wordprocessingShape">
                    <wps:wsp>
                      <wps:cNvCnPr/>
                      <wps:spPr>
                        <a:xfrm flipV="1">
                          <a:off x="1051560" y="8376920"/>
                          <a:ext cx="5543550" cy="6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75pt;margin-top:0.35pt;height:0.05pt;width:436.5pt;z-index:251659264;mso-width-relative:page;mso-height-relative:page;" filled="f" stroked="t" coordsize="21600,21600" o:gfxdata="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OV2SHTAAAAAwEAAA8AAAAAAAAAAQAgAAAAIgAAAGRycy9kb3ducmV2LnhtbFBLAQIU&#10;ABQAAAAIAIdO4kBPtGHC+AEAAMkDAAAOAAAAAAAAAAEAIAAAACIBAABkcnMvZTJvRG9jLnhtbFBL&#10;BQYAAAAABgAGAFkBAACMBQAAAAA=&#10;">
                <v:fill on="f" focussize="0,0"/>
                <v:stroke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40005</wp:posOffset>
                </wp:positionH>
                <wp:positionV relativeFrom="paragraph">
                  <wp:posOffset>389255</wp:posOffset>
                </wp:positionV>
                <wp:extent cx="5534025" cy="508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534025" cy="50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15pt;margin-top:30.65pt;height:0.4pt;width:435.75pt;z-index:251660288;mso-width-relative:page;mso-height-relative:page;" filled="f" stroked="t" coordsize="21600,21600" o:gfxdata="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Lhy6NcAAAAHAQAADwAAAAAAAAABACAAAAAiAAAAZHJzL2Rvd25yZXYueG1sUEsBAhQAFAAAAAgA&#10;h07iQA56mCjtAQAAvgMAAA4AAAAAAAAAAQAgAAAAJgEAAGRycy9lMm9Eb2MueG1sUEsFBgAAAAAG&#10;AAYAWQEAAIUFAAAAAA==&#10;">
                <v:fill on="f" focussize="0,0"/>
                <v:stroke color="#000000 [3200]" miterlimit="8" joinstyle="miter"/>
                <v:imagedata o:title=""/>
                <o:lock v:ext="edit" aspectratio="f"/>
              </v:line>
            </w:pict>
          </mc:Fallback>
        </mc:AlternateContent>
      </w:r>
      <w:r>
        <w:rPr>
          <w:rFonts w:hint="eastAsia" w:ascii="仿宋" w:hAnsi="仿宋" w:eastAsia="仿宋" w:cs="仿宋"/>
          <w:sz w:val="32"/>
          <w:szCs w:val="32"/>
          <w:lang w:val="en-US" w:eastAsia="zh-CN"/>
        </w:rPr>
        <w:t>抄送：区医保局，街道民政办、脱贫办，存档</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仿宋" w:hAnsi="仿宋" w:eastAsia="仿宋" w:cs="仿宋"/>
          <w:b/>
          <w:bCs/>
          <w:sz w:val="28"/>
          <w:szCs w:val="28"/>
          <w:lang w:val="en-US" w:eastAsia="zh-CN" w:bidi="ar"/>
        </w:rPr>
      </w:pPr>
      <w:r>
        <w:rPr>
          <w:rFonts w:hint="eastAsia" w:ascii="仿宋" w:hAnsi="仿宋" w:eastAsia="仿宋" w:cs="仿宋"/>
          <w:b/>
          <w:bCs/>
          <w:sz w:val="28"/>
          <w:szCs w:val="28"/>
          <w:lang w:val="en-US" w:eastAsia="zh-CN" w:bidi="ar"/>
        </w:rPr>
        <w:t>附件一：</w:t>
      </w:r>
    </w:p>
    <w:tbl>
      <w:tblPr>
        <w:tblStyle w:val="4"/>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856"/>
        <w:gridCol w:w="2343"/>
        <w:gridCol w:w="1569"/>
        <w:gridCol w:w="13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8055" w:type="dxa"/>
            <w:gridSpan w:val="5"/>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2024年度凤城街道城乡居民医保缴费任务表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序号</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社区</w:t>
            </w:r>
          </w:p>
        </w:tc>
        <w:tc>
          <w:tcPr>
            <w:tcW w:w="23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2024年任务数</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完成情况</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sz w:val="32"/>
                <w:szCs w:val="32"/>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sz w:val="32"/>
                <w:szCs w:val="32"/>
                <w:u w:val="none"/>
              </w:rPr>
            </w:pPr>
          </w:p>
        </w:tc>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jc w:val="center"/>
              <w:rPr>
                <w:rFonts w:hint="eastAsia" w:ascii="仿宋" w:hAnsi="仿宋" w:eastAsia="仿宋" w:cs="仿宋"/>
                <w:i w:val="0"/>
                <w:iCs w:val="0"/>
                <w:color w:val="000000"/>
                <w:sz w:val="32"/>
                <w:szCs w:val="32"/>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sz w:val="32"/>
                <w:szCs w:val="32"/>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长化</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olor w:val="000000"/>
                <w:kern w:val="2"/>
                <w:sz w:val="30"/>
                <w:szCs w:val="30"/>
                <w:u w:val="none"/>
                <w:lang w:val="en-US" w:eastAsia="zh-CN" w:bidi="ar-SA"/>
              </w:rPr>
            </w:pPr>
            <w:r>
              <w:rPr>
                <w:rFonts w:hint="eastAsia" w:ascii="仿宋" w:hAnsi="仿宋" w:eastAsia="仿宋" w:cs="仿宋"/>
                <w:i w:val="0"/>
                <w:iCs w:val="0"/>
                <w:color w:val="000000"/>
                <w:kern w:val="0"/>
                <w:sz w:val="30"/>
                <w:szCs w:val="30"/>
                <w:u w:val="none"/>
                <w:lang w:val="en-US" w:eastAsia="zh-CN" w:bidi="ar"/>
              </w:rPr>
              <w:t>852</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龙角</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900</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下坑</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1151</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大园</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1302</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书院</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1561</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东兴</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eastAsia="zh-CN"/>
              </w:rPr>
            </w:pPr>
            <w:r>
              <w:rPr>
                <w:rFonts w:hint="eastAsia" w:ascii="宋体" w:hAnsi="宋体" w:eastAsia="宋体" w:cs="宋体"/>
                <w:i w:val="0"/>
                <w:iCs w:val="0"/>
                <w:color w:val="000000"/>
                <w:sz w:val="30"/>
                <w:szCs w:val="30"/>
                <w:u w:val="none"/>
                <w:lang w:val="en-US" w:eastAsia="zh-CN"/>
              </w:rPr>
              <w:t>1998</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金凤</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1851</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大洲</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3296</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龙凤</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3550</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仙峰</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4840</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东坊</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3710</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西北</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4024</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南郊</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宋体" w:cs="宋体"/>
                <w:i w:val="0"/>
                <w:iCs w:val="0"/>
                <w:color w:val="000000"/>
                <w:sz w:val="30"/>
                <w:szCs w:val="30"/>
                <w:u w:val="none"/>
                <w:lang w:val="en-US"/>
              </w:rPr>
            </w:pPr>
            <w:r>
              <w:rPr>
                <w:rFonts w:hint="eastAsia" w:ascii="宋体" w:hAnsi="宋体" w:eastAsia="宋体" w:cs="宋体"/>
                <w:i w:val="0"/>
                <w:iCs w:val="0"/>
                <w:color w:val="000000"/>
                <w:kern w:val="0"/>
                <w:sz w:val="30"/>
                <w:szCs w:val="30"/>
                <w:u w:val="none"/>
                <w:lang w:val="en-US" w:eastAsia="zh-CN" w:bidi="ar"/>
              </w:rPr>
              <w:t>5440</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27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合计</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kern w:val="2"/>
                <w:sz w:val="30"/>
                <w:szCs w:val="30"/>
                <w:u w:val="none"/>
                <w:lang w:val="en-US" w:eastAsia="zh-CN" w:bidi="ar-SA"/>
              </w:rPr>
            </w:pPr>
            <w:r>
              <w:rPr>
                <w:rFonts w:hint="eastAsia" w:ascii="宋体" w:hAnsi="宋体" w:eastAsia="宋体" w:cs="宋体"/>
                <w:i w:val="0"/>
                <w:iCs w:val="0"/>
                <w:color w:val="000000"/>
                <w:kern w:val="0"/>
                <w:sz w:val="30"/>
                <w:szCs w:val="30"/>
                <w:u w:val="none"/>
                <w:lang w:val="en-US" w:eastAsia="zh-CN" w:bidi="ar"/>
              </w:rPr>
              <w:t>34475</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sz w:val="22"/>
                <w:szCs w:val="22"/>
                <w:u w:val="none"/>
              </w:rPr>
            </w:pPr>
          </w:p>
        </w:tc>
      </w:tr>
    </w:tbl>
    <w:p>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28"/>
          <w:szCs w:val="28"/>
          <w:lang w:val="en-US" w:eastAsia="zh-CN" w:bidi="ar"/>
        </w:rPr>
      </w:pPr>
    </w:p>
    <w:p>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仿宋" w:hAnsi="仿宋" w:eastAsia="仿宋" w:cs="仿宋"/>
          <w:b/>
          <w:bCs/>
          <w:sz w:val="28"/>
          <w:szCs w:val="28"/>
          <w:lang w:val="en-US" w:eastAsia="zh-CN" w:bidi="ar"/>
        </w:rPr>
      </w:pP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黑体" w:hAnsi="黑体" w:eastAsia="黑体" w:cs="黑体"/>
          <w:b/>
          <w:bCs/>
          <w:sz w:val="32"/>
          <w:szCs w:val="32"/>
          <w:lang w:val="en-US" w:eastAsia="zh-CN" w:bidi="ar"/>
        </w:rPr>
      </w:pPr>
      <w:r>
        <w:rPr>
          <w:rFonts w:hint="eastAsia" w:ascii="仿宋" w:hAnsi="仿宋" w:eastAsia="仿宋" w:cs="仿宋"/>
          <w:b/>
          <w:bCs/>
          <w:sz w:val="28"/>
          <w:szCs w:val="28"/>
          <w:lang w:val="en-US" w:eastAsia="zh-CN" w:bidi="ar"/>
        </w:rPr>
        <w:t>附件二：</w:t>
      </w:r>
    </w:p>
    <w:p>
      <w:pPr>
        <w:keepNext w:val="0"/>
        <w:keepLines w:val="0"/>
        <w:pageBreakBefore w:val="0"/>
        <w:kinsoku/>
        <w:wordWrap/>
        <w:overflowPunct/>
        <w:topLinePunct w:val="0"/>
        <w:autoSpaceDE/>
        <w:autoSpaceDN/>
        <w:bidi w:val="0"/>
        <w:adjustRightInd/>
        <w:snapToGrid/>
        <w:spacing w:line="580" w:lineRule="exact"/>
        <w:ind w:firstLine="480"/>
        <w:jc w:val="center"/>
        <w:textAlignment w:val="auto"/>
        <w:rPr>
          <w:rFonts w:hint="eastAsia" w:ascii="方正小标宋简体" w:hAnsi="方正小标宋简体" w:eastAsia="方正小标宋简体" w:cs="方正小标宋简体"/>
          <w:b/>
          <w:bCs/>
          <w:sz w:val="44"/>
          <w:szCs w:val="44"/>
          <w:lang w:val="en-US" w:eastAsia="zh-CN" w:bidi="ar"/>
        </w:rPr>
      </w:pPr>
      <w:r>
        <w:rPr>
          <w:rFonts w:hint="eastAsia" w:ascii="方正小标宋简体" w:hAnsi="方正小标宋简体" w:eastAsia="方正小标宋简体" w:cs="方正小标宋简体"/>
          <w:b/>
          <w:bCs/>
          <w:sz w:val="44"/>
          <w:szCs w:val="44"/>
          <w:lang w:val="en-US" w:eastAsia="zh-CN" w:bidi="ar"/>
        </w:rPr>
        <w:t>医保缴费细则</w:t>
      </w:r>
    </w:p>
    <w:p>
      <w:pPr>
        <w:keepNext w:val="0"/>
        <w:keepLines w:val="0"/>
        <w:pageBreakBefore w:val="0"/>
        <w:kinsoku/>
        <w:wordWrap/>
        <w:overflowPunct/>
        <w:topLinePunct w:val="0"/>
        <w:autoSpaceDE/>
        <w:autoSpaceDN/>
        <w:bidi w:val="0"/>
        <w:adjustRightInd/>
        <w:snapToGrid/>
        <w:spacing w:line="580" w:lineRule="exact"/>
        <w:ind w:firstLine="480"/>
        <w:textAlignment w:val="auto"/>
        <w:rPr>
          <w:rFonts w:hint="eastAsia" w:ascii="仿宋" w:hAnsi="仿宋" w:eastAsia="仿宋" w:cs="仿宋"/>
          <w:sz w:val="28"/>
          <w:szCs w:val="28"/>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kinsoku/>
        <w:wordWrap/>
        <w:overflowPunct/>
        <w:topLinePunct w:val="0"/>
        <w:autoSpaceDE/>
        <w:autoSpaceDN/>
        <w:bidi w:val="0"/>
        <w:adjustRightInd/>
        <w:snapToGrid/>
        <w:spacing w:before="0" w:beforeAutospacing="0" w:after="0" w:afterAutospacing="0" w:line="580" w:lineRule="exact"/>
        <w:ind w:left="120" w:leftChars="0" w:right="120" w:rightChars="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筹资标准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kinsoku/>
        <w:wordWrap/>
        <w:overflowPunct/>
        <w:topLinePunct w:val="0"/>
        <w:autoSpaceDE/>
        <w:autoSpaceDN/>
        <w:bidi w:val="0"/>
        <w:adjustRightInd/>
        <w:snapToGrid/>
        <w:spacing w:before="0" w:beforeAutospacing="0" w:after="0" w:afterAutospacing="0" w:line="580" w:lineRule="exact"/>
        <w:ind w:left="120" w:leftChars="0" w:right="120" w:rightChars="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1.2024年城乡居民医保个人缴费标准为380元/人。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120" w:right="12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2.2024年各级财政对城乡居民医保的补助按省定标准</w:t>
      </w:r>
    </w:p>
    <w:p>
      <w:pPr>
        <w:keepNext w:val="0"/>
        <w:keepLines w:val="0"/>
        <w:pageBreakBefore w:val="0"/>
        <w:numPr>
          <w:ilvl w:val="0"/>
          <w:numId w:val="0"/>
        </w:numPr>
        <w:kinsoku/>
        <w:wordWrap/>
        <w:overflowPunct/>
        <w:topLinePunct w:val="0"/>
        <w:autoSpaceDE/>
        <w:autoSpaceDN/>
        <w:bidi w:val="0"/>
        <w:adjustRightInd/>
        <w:snapToGrid/>
        <w:spacing w:line="580" w:lineRule="exact"/>
        <w:ind w:left="120" w:leftChars="0" w:firstLine="640" w:firstLineChars="20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缴费时间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120" w:right="120"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2024年城乡居民正常缴费期限为2023年9月1日至2024年2月29日，未按正常缴费期限缴费的参保人员，可在2024年度内继续缴纳当年度的城乡居民医保。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120"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具体缴费情况如下：</w:t>
      </w:r>
    </w:p>
    <w:p>
      <w:pPr>
        <w:keepNext w:val="0"/>
        <w:keepLines w:val="0"/>
        <w:pageBreakBefore w:val="0"/>
        <w:kinsoku/>
        <w:wordWrap/>
        <w:overflowPunct/>
        <w:topLinePunct w:val="0"/>
        <w:autoSpaceDE/>
        <w:autoSpaceDN/>
        <w:bidi w:val="0"/>
        <w:adjustRightInd/>
        <w:snapToGrid/>
        <w:spacing w:line="240" w:lineRule="auto"/>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drawing>
          <wp:inline distT="0" distB="0" distL="114300" distR="114300">
            <wp:extent cx="5614670" cy="3392805"/>
            <wp:effectExtent l="0" t="0" r="8890" b="571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4"/>
                    <a:stretch>
                      <a:fillRect/>
                    </a:stretch>
                  </pic:blipFill>
                  <pic:spPr>
                    <a:xfrm>
                      <a:off x="0" y="0"/>
                      <a:ext cx="5614670" cy="3392805"/>
                    </a:xfrm>
                    <a:prstGeom prst="rect">
                      <a:avLst/>
                    </a:prstGeom>
                  </pic:spPr>
                </pic:pic>
              </a:graphicData>
            </a:graphic>
          </wp:inline>
        </w:drawing>
      </w:r>
      <w:r>
        <w:rPr>
          <w:rFonts w:hint="eastAsia" w:ascii="仿宋" w:hAnsi="仿宋" w:eastAsia="仿宋" w:cs="仿宋"/>
          <w:color w:val="000000"/>
          <w:kern w:val="0"/>
          <w:sz w:val="32"/>
          <w:szCs w:val="32"/>
          <w:lang w:val="en-US" w:eastAsia="zh-CN" w:bidi="ar"/>
        </w:rPr>
        <w:t>参保对象及范围</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1.未参加城镇职工基本医疗保险的本街道户籍城乡居民；</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2.行政辖区内就读的在校学生；</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3.驻永武警官兵；</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4.持有本街道居住证（有效期内）的未稳定就业人员；</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5.在辖区内居住1年以上的非从业港澳台人员。</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缴费流程</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（一）参保登记</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1.已参加城乡居民医保的参保人员，无需重新办理参保登记。</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2.首次参加城乡居民医保，需进行参保登记。登录“龙岩医疗保障”微信公众号或到各县(市、区)农商银行（农信社）网点、医保窗口进行参保登记或变更参保地。</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缴费方式</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城乡居民医保参保登记后，可通过税务部门提供的多元渠道办理缴费——</w:t>
      </w:r>
    </w:p>
    <w:p>
      <w:pPr>
        <w:keepNext w:val="0"/>
        <w:keepLines w:val="0"/>
        <w:pageBreakBefore w:val="0"/>
        <w:kinsoku/>
        <w:wordWrap/>
        <w:overflowPunct/>
        <w:topLinePunct w:val="0"/>
        <w:autoSpaceDE/>
        <w:autoSpaceDN/>
        <w:bidi w:val="0"/>
        <w:adjustRightInd/>
        <w:snapToGrid/>
        <w:spacing w:line="240" w:lineRule="auto"/>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drawing>
          <wp:inline distT="0" distB="0" distL="114300" distR="114300">
            <wp:extent cx="5613400" cy="2350135"/>
            <wp:effectExtent l="0" t="0" r="10160" b="12065"/>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5"/>
                    <a:stretch>
                      <a:fillRect/>
                    </a:stretch>
                  </pic:blipFill>
                  <pic:spPr>
                    <a:xfrm>
                      <a:off x="0" y="0"/>
                      <a:ext cx="5613400" cy="235013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（三）政策性补助对象</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1、全面落实城乡居民基本医保参保财政补助政策，对个人缴费确有困难的群众按规定给予分类资助，确保应保尽保。</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其中：对特困供养人员、孤儿（含事实无人抚养儿童）、县以上地方政府相关部门认定的重点优抚对象、革命“五老”人员、计划生育特殊家庭成员、重度残疾人给予全额资助；</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对最低生活保障对象、纳入乡村振兴部门监测的农村易返贫致贫人员（简称农村易返贫致贫人员）、脱贫（享受政策）人员按照90%比例给予定额资助，即这类对象个人缴费金额为38元。</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对符合条件的新增救助对象应及时认定并资助参保，相关待遇从认定之日次月起执行；认定前个人当年已参保的，不再资助参保。不按规定缴费参保的，视为放弃当年医疗保险和救助待遇。</w:t>
      </w:r>
    </w:p>
    <w:p>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经卫健部门确认的计生优抚对象（农村二女结扎户、农村独女办证户），参加城乡居民医保的个人缴费部分由卫健部门向当地财政按规定申请补助，退费工作由卫健部门负责。</w:t>
      </w: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12D0F7-01ED-4FA4-8A0B-19F04C216C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3D56437-00B7-4AE6-BC7E-59054EC2D64F}"/>
  </w:font>
  <w:font w:name="仿宋">
    <w:panose1 w:val="02010609060101010101"/>
    <w:charset w:val="86"/>
    <w:family w:val="auto"/>
    <w:pitch w:val="default"/>
    <w:sig w:usb0="800002BF" w:usb1="38CF7CFA" w:usb2="00000016" w:usb3="00000000" w:csb0="00040001" w:csb1="00000000"/>
    <w:embedRegular r:id="rId3" w:fontKey="{16AF82ED-C165-4C0F-BC4A-7A546C1FC1D9}"/>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zMzAyM2QxZGY0ZTJlOTI5OTA0MTRjMGNjYTU4MWIifQ=="/>
  </w:docVars>
  <w:rsids>
    <w:rsidRoot w:val="749F64AF"/>
    <w:rsid w:val="080A5AB9"/>
    <w:rsid w:val="082D136B"/>
    <w:rsid w:val="0E397B0D"/>
    <w:rsid w:val="12C4085C"/>
    <w:rsid w:val="12DE4A4E"/>
    <w:rsid w:val="1AE23C06"/>
    <w:rsid w:val="25581C09"/>
    <w:rsid w:val="463058A1"/>
    <w:rsid w:val="4A8B516A"/>
    <w:rsid w:val="51494DD6"/>
    <w:rsid w:val="57BB389E"/>
    <w:rsid w:val="6BD82B3D"/>
    <w:rsid w:val="6E406B9F"/>
    <w:rsid w:val="70251035"/>
    <w:rsid w:val="726952BF"/>
    <w:rsid w:val="749F64AF"/>
    <w:rsid w:val="7A197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1733</Words>
  <Characters>1858</Characters>
  <Lines>0</Lines>
  <Paragraphs>0</Paragraphs>
  <TotalTime>20</TotalTime>
  <ScaleCrop>false</ScaleCrop>
  <LinksUpToDate>false</LinksUpToDate>
  <CharactersWithSpaces>1891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2022-10-09T02:17:00Z</dcterms:created>
  <dc:creator>Administrator</dc:creator>
  <cp:lastModifiedBy>凤城街道党办</cp:lastModifiedBy>
  <cp:lastPrinted>2023-12-28T03:11:00Z</cp:lastPrinted>
  <dcterms:modified xsi:type="dcterms:W3CDTF">2024-01-10T02:34:40Z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FC887CABA32E4584A0B0990FBE0BABEE_13</vt:lpwstr>
  </property>
</Properties>
</file>