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before="0" w:line="580" w:lineRule="exact"/>
        <w:ind w:right="1808"/>
        <w:jc w:val="both"/>
        <w:textAlignment w:val="auto"/>
        <w:rPr>
          <w:rFonts w:hint="eastAsia" w:ascii="宋体" w:eastAsia="宋体"/>
          <w:spacing w:val="-15"/>
          <w:sz w:val="44"/>
        </w:rPr>
      </w:pPr>
    </w:p>
    <w:p>
      <w:pPr>
        <w:keepNext w:val="0"/>
        <w:keepLines w:val="0"/>
        <w:pageBreakBefore w:val="0"/>
        <w:widowControl w:val="0"/>
        <w:kinsoku/>
        <w:wordWrap/>
        <w:overflowPunct/>
        <w:topLinePunct w:val="0"/>
        <w:autoSpaceDE w:val="0"/>
        <w:autoSpaceDN w:val="0"/>
        <w:bidi w:val="0"/>
        <w:adjustRightInd/>
        <w:snapToGrid/>
        <w:spacing w:before="0" w:line="580" w:lineRule="exact"/>
        <w:ind w:left="3226" w:right="1808" w:hanging="1429"/>
        <w:jc w:val="both"/>
        <w:textAlignment w:val="auto"/>
        <w:rPr>
          <w:rFonts w:hint="eastAsia" w:ascii="方正小标宋简体" w:hAnsi="方正小标宋简体" w:eastAsia="方正小标宋简体" w:cs="方正小标宋简体"/>
          <w:spacing w:val="-23"/>
          <w:sz w:val="44"/>
        </w:rPr>
      </w:pPr>
      <w:r>
        <w:rPr>
          <w:rFonts w:hint="eastAsia" w:ascii="方正小标宋简体" w:hAnsi="方正小标宋简体" w:eastAsia="方正小标宋简体" w:cs="方正小标宋简体"/>
          <w:spacing w:val="-15"/>
          <w:sz w:val="44"/>
        </w:rPr>
        <w:t>永定区凤城街道</w:t>
      </w:r>
      <w:r>
        <w:rPr>
          <w:rFonts w:hint="eastAsia" w:ascii="方正小标宋简体" w:hAnsi="方正小标宋简体" w:eastAsia="方正小标宋简体" w:cs="方正小标宋简体"/>
          <w:spacing w:val="-15"/>
          <w:sz w:val="44"/>
          <w:lang w:val="en-US" w:eastAsia="zh-CN"/>
        </w:rPr>
        <w:t>2025</w:t>
      </w:r>
      <w:r>
        <w:rPr>
          <w:rFonts w:hint="eastAsia" w:ascii="方正小标宋简体" w:hAnsi="方正小标宋简体" w:eastAsia="方正小标宋简体" w:cs="方正小标宋简体"/>
          <w:spacing w:val="-23"/>
          <w:sz w:val="44"/>
        </w:rPr>
        <w:t>年政府信息</w:t>
      </w:r>
    </w:p>
    <w:p>
      <w:pPr>
        <w:keepNext w:val="0"/>
        <w:keepLines w:val="0"/>
        <w:pageBreakBefore w:val="0"/>
        <w:widowControl w:val="0"/>
        <w:kinsoku/>
        <w:wordWrap/>
        <w:overflowPunct/>
        <w:topLinePunct w:val="0"/>
        <w:autoSpaceDE w:val="0"/>
        <w:autoSpaceDN w:val="0"/>
        <w:bidi w:val="0"/>
        <w:adjustRightInd/>
        <w:snapToGrid/>
        <w:spacing w:before="0" w:line="580" w:lineRule="exact"/>
        <w:ind w:left="3226" w:right="1808" w:hanging="1429"/>
        <w:jc w:val="center"/>
        <w:textAlignment w:val="auto"/>
        <w:rPr>
          <w:rFonts w:hint="eastAsia"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公开工作年度报告</w:t>
      </w:r>
    </w:p>
    <w:p>
      <w:pPr>
        <w:pStyle w:val="3"/>
        <w:spacing w:before="11"/>
        <w:rPr>
          <w:rFonts w:ascii="宋体"/>
          <w:sz w:val="62"/>
        </w:rPr>
      </w:pPr>
    </w:p>
    <w:p>
      <w:pPr>
        <w:pStyle w:val="3"/>
        <w:keepNext w:val="0"/>
        <w:keepLines w:val="0"/>
        <w:pageBreakBefore w:val="0"/>
        <w:widowControl w:val="0"/>
        <w:kinsoku/>
        <w:wordWrap w:val="0"/>
        <w:overflowPunct/>
        <w:topLinePunct w:val="0"/>
        <w:autoSpaceDE w:val="0"/>
        <w:autoSpaceDN w:val="0"/>
        <w:bidi w:val="0"/>
        <w:adjustRightInd/>
        <w:snapToGrid/>
        <w:spacing w:line="338" w:lineRule="auto"/>
        <w:ind w:left="566" w:right="571" w:firstLine="640"/>
        <w:jc w:val="both"/>
        <w:textAlignment w:val="auto"/>
        <w:rPr>
          <w:spacing w:val="-21"/>
        </w:rPr>
      </w:pPr>
      <w:r>
        <w:rPr>
          <w:spacing w:val="-10"/>
        </w:rPr>
        <w:t>本报告依据《中华人民共和国政府信息公开条例》</w:t>
      </w:r>
      <w:r>
        <w:t>（国务院</w:t>
      </w:r>
      <w:r>
        <w:rPr>
          <w:spacing w:val="-29"/>
        </w:rPr>
        <w:t>令第</w:t>
      </w:r>
      <w:r>
        <w:t>711</w:t>
      </w:r>
      <w:r>
        <w:rPr>
          <w:spacing w:val="-16"/>
        </w:rPr>
        <w:t>号，以下简称新《条例》</w:t>
      </w:r>
      <w:r>
        <w:rPr>
          <w:spacing w:val="-22"/>
        </w:rPr>
        <w:t>）</w:t>
      </w:r>
      <w:r>
        <w:rPr>
          <w:spacing w:val="-5"/>
        </w:rPr>
        <w:t>和《国务院办公厅政府信息</w:t>
      </w:r>
      <w:r>
        <w:rPr>
          <w:spacing w:val="6"/>
          <w:w w:val="95"/>
        </w:rPr>
        <w:t>与政务公开办公室关于政府信息公开工作年度报告有关事项的</w:t>
      </w:r>
      <w:r>
        <w:rPr>
          <w:spacing w:val="5"/>
        </w:rPr>
        <w:t>通知》</w:t>
      </w:r>
      <w:r>
        <w:rPr>
          <w:spacing w:val="7"/>
        </w:rPr>
        <w:t>（</w:t>
      </w:r>
      <w:r>
        <w:rPr>
          <w:spacing w:val="5"/>
        </w:rPr>
        <w:t>国办公开办函〔</w:t>
      </w:r>
      <w:r>
        <w:t>2021</w:t>
      </w:r>
      <w:r>
        <w:rPr>
          <w:spacing w:val="5"/>
        </w:rPr>
        <w:t>〕</w:t>
      </w:r>
      <w:r>
        <w:t>30</w:t>
      </w:r>
      <w:r>
        <w:rPr>
          <w:spacing w:val="-43"/>
        </w:rPr>
        <w:t>号</w:t>
      </w:r>
      <w:r>
        <w:rPr>
          <w:spacing w:val="7"/>
        </w:rPr>
        <w:t>）</w:t>
      </w:r>
      <w:r>
        <w:rPr>
          <w:spacing w:val="3"/>
        </w:rPr>
        <w:t>要求，结合有关统计数</w:t>
      </w:r>
      <w:r>
        <w:rPr>
          <w:spacing w:val="-11"/>
        </w:rPr>
        <w:t>据编制。全文包括总体情况、主动公开政府信息情况、收到和处</w:t>
      </w:r>
      <w:r>
        <w:rPr>
          <w:spacing w:val="6"/>
          <w:w w:val="95"/>
        </w:rPr>
        <w:t>理政府信息公开申请情况、政府信息公开行政复议行政诉讼情</w:t>
      </w:r>
      <w:r>
        <w:rPr>
          <w:spacing w:val="-11"/>
        </w:rPr>
        <w:t>况、存在的主要问题及改进情况、其他需要报告的事项，所列数</w:t>
      </w:r>
      <w:r>
        <w:rPr>
          <w:spacing w:val="-20"/>
        </w:rPr>
        <w:t>据的统计期限自</w:t>
      </w:r>
      <w:r>
        <w:t>202</w:t>
      </w:r>
      <w:r>
        <w:rPr>
          <w:rFonts w:hint="eastAsia"/>
          <w:lang w:val="en-US" w:eastAsia="zh-CN"/>
        </w:rPr>
        <w:t>5</w:t>
      </w:r>
      <w:r>
        <w:rPr>
          <w:spacing w:val="-54"/>
        </w:rPr>
        <w:t>年</w:t>
      </w:r>
      <w:r>
        <w:t>1</w:t>
      </w:r>
      <w:r>
        <w:rPr>
          <w:spacing w:val="-55"/>
        </w:rPr>
        <w:t>月</w:t>
      </w:r>
      <w:r>
        <w:t>1</w:t>
      </w:r>
      <w:r>
        <w:rPr>
          <w:spacing w:val="-33"/>
        </w:rPr>
        <w:t>日起至</w:t>
      </w:r>
      <w:r>
        <w:t>202</w:t>
      </w:r>
      <w:r>
        <w:rPr>
          <w:rFonts w:hint="eastAsia"/>
          <w:lang w:val="en-US" w:eastAsia="zh-CN"/>
        </w:rPr>
        <w:t>5</w:t>
      </w:r>
      <w:r>
        <w:rPr>
          <w:spacing w:val="-55"/>
        </w:rPr>
        <w:t>年</w:t>
      </w:r>
      <w:r>
        <w:t>12</w:t>
      </w:r>
      <w:r>
        <w:rPr>
          <w:spacing w:val="-54"/>
        </w:rPr>
        <w:t>月</w:t>
      </w:r>
      <w:r>
        <w:t>31</w:t>
      </w:r>
      <w:r>
        <w:rPr>
          <w:spacing w:val="-21"/>
        </w:rPr>
        <w:t>日止。</w:t>
      </w:r>
    </w:p>
    <w:p>
      <w:pPr>
        <w:pStyle w:val="3"/>
        <w:keepNext w:val="0"/>
        <w:keepLines w:val="0"/>
        <w:pageBreakBefore w:val="0"/>
        <w:widowControl w:val="0"/>
        <w:kinsoku/>
        <w:wordWrap w:val="0"/>
        <w:overflowPunct/>
        <w:topLinePunct w:val="0"/>
        <w:autoSpaceDE w:val="0"/>
        <w:autoSpaceDN w:val="0"/>
        <w:bidi w:val="0"/>
        <w:adjustRightInd/>
        <w:snapToGrid/>
        <w:spacing w:line="338" w:lineRule="auto"/>
        <w:ind w:left="566" w:right="571" w:firstLine="640"/>
        <w:jc w:val="both"/>
        <w:textAlignment w:val="auto"/>
      </w:pPr>
      <w:r>
        <w:t>如对本报告有任何疑问或意见建议，请与凤城街道办事处</w:t>
      </w:r>
      <w:r>
        <w:rPr>
          <w:rFonts w:hint="eastAsia"/>
          <w:lang w:eastAsia="zh-CN"/>
        </w:rPr>
        <w:t>联系。</w:t>
      </w:r>
    </w:p>
    <w:p>
      <w:pPr>
        <w:pStyle w:val="3"/>
        <w:keepNext w:val="0"/>
        <w:keepLines w:val="0"/>
        <w:pageBreakBefore w:val="0"/>
        <w:widowControl w:val="0"/>
        <w:kinsoku/>
        <w:wordWrap w:val="0"/>
        <w:overflowPunct/>
        <w:topLinePunct w:val="0"/>
        <w:autoSpaceDE w:val="0"/>
        <w:autoSpaceDN w:val="0"/>
        <w:bidi w:val="0"/>
        <w:adjustRightInd/>
        <w:snapToGrid/>
        <w:spacing w:before="10"/>
        <w:textAlignment w:val="auto"/>
        <w:rPr>
          <w:sz w:val="16"/>
        </w:rPr>
      </w:pPr>
    </w:p>
    <w:p>
      <w:pPr>
        <w:pStyle w:val="3"/>
        <w:keepNext w:val="0"/>
        <w:keepLines w:val="0"/>
        <w:pageBreakBefore w:val="0"/>
        <w:widowControl w:val="0"/>
        <w:kinsoku/>
        <w:wordWrap w:val="0"/>
        <w:overflowPunct/>
        <w:topLinePunct w:val="0"/>
        <w:autoSpaceDE w:val="0"/>
        <w:autoSpaceDN w:val="0"/>
        <w:bidi w:val="0"/>
        <w:adjustRightInd/>
        <w:snapToGrid/>
        <w:spacing w:before="54" w:line="398" w:lineRule="auto"/>
        <w:ind w:left="1207" w:right="2858"/>
        <w:textAlignment w:val="auto"/>
      </w:pPr>
      <w:r>
        <w:rPr>
          <w:spacing w:val="-5"/>
        </w:rPr>
        <w:t>地址：龙岩市永定区凤城街道南通路</w:t>
      </w:r>
      <w:r>
        <w:t>67</w:t>
      </w:r>
      <w:r>
        <w:rPr>
          <w:spacing w:val="-49"/>
        </w:rPr>
        <w:t>号</w:t>
      </w:r>
      <w:r>
        <w:t>电话：0597-5832437</w:t>
      </w:r>
    </w:p>
    <w:p>
      <w:pPr>
        <w:pStyle w:val="3"/>
        <w:keepNext w:val="0"/>
        <w:keepLines w:val="0"/>
        <w:pageBreakBefore w:val="0"/>
        <w:widowControl w:val="0"/>
        <w:kinsoku/>
        <w:wordWrap w:val="0"/>
        <w:overflowPunct/>
        <w:topLinePunct w:val="0"/>
        <w:autoSpaceDE w:val="0"/>
        <w:autoSpaceDN w:val="0"/>
        <w:bidi w:val="0"/>
        <w:adjustRightInd/>
        <w:snapToGrid/>
        <w:spacing w:before="24"/>
        <w:ind w:left="1207"/>
        <w:textAlignment w:val="auto"/>
      </w:pPr>
      <w:r>
        <w:t>邮编：364100</w:t>
      </w:r>
    </w:p>
    <w:p>
      <w:pPr>
        <w:pStyle w:val="3"/>
        <w:keepNext w:val="0"/>
        <w:keepLines w:val="0"/>
        <w:pageBreakBefore w:val="0"/>
        <w:widowControl w:val="0"/>
        <w:kinsoku/>
        <w:wordWrap w:val="0"/>
        <w:overflowPunct/>
        <w:topLinePunct w:val="0"/>
        <w:autoSpaceDE w:val="0"/>
        <w:autoSpaceDN w:val="0"/>
        <w:bidi w:val="0"/>
        <w:adjustRightInd/>
        <w:snapToGrid/>
        <w:spacing w:before="270"/>
        <w:ind w:left="1207"/>
        <w:textAlignment w:val="auto"/>
      </w:pPr>
      <w:r>
        <w:t>电子邮箱：</w:t>
      </w:r>
      <w:r>
        <w:fldChar w:fldCharType="begin"/>
      </w:r>
      <w:r>
        <w:instrText xml:space="preserve"> HYPERLINK "mailto:zgfcdwb@126.com" \h </w:instrText>
      </w:r>
      <w:r>
        <w:fldChar w:fldCharType="separate"/>
      </w:r>
      <w:r>
        <w:t>zgfcdwb@126.com</w:t>
      </w:r>
      <w:r>
        <w:fldChar w:fldCharType="end"/>
      </w:r>
    </w:p>
    <w:p>
      <w:pPr>
        <w:pStyle w:val="3"/>
        <w:spacing w:before="269"/>
        <w:ind w:left="986"/>
        <w:rPr>
          <w:rFonts w:hint="eastAsia" w:ascii="黑体" w:eastAsia="黑体"/>
        </w:rPr>
      </w:pPr>
    </w:p>
    <w:p>
      <w:pPr>
        <w:pStyle w:val="3"/>
        <w:spacing w:before="269"/>
        <w:ind w:left="986"/>
        <w:rPr>
          <w:rFonts w:hint="eastAsia" w:ascii="黑体" w:eastAsia="黑体"/>
        </w:rPr>
      </w:pPr>
    </w:p>
    <w:p>
      <w:pPr>
        <w:pStyle w:val="3"/>
        <w:spacing w:before="269"/>
        <w:ind w:left="986"/>
        <w:rPr>
          <w:rFonts w:hint="eastAsia" w:ascii="黑体" w:eastAsia="黑体"/>
        </w:rPr>
      </w:pPr>
      <w:r>
        <w:rPr>
          <w:rFonts w:hint="eastAsia" w:ascii="黑体" w:eastAsia="黑体"/>
        </w:rPr>
        <w:t>一、总体情况</w:t>
      </w:r>
    </w:p>
    <w:p>
      <w:pPr>
        <w:pStyle w:val="3"/>
        <w:keepNext w:val="0"/>
        <w:keepLines w:val="0"/>
        <w:pageBreakBefore w:val="0"/>
        <w:widowControl w:val="0"/>
        <w:kinsoku/>
        <w:wordWrap/>
        <w:overflowPunct/>
        <w:topLinePunct w:val="0"/>
        <w:autoSpaceDE w:val="0"/>
        <w:autoSpaceDN w:val="0"/>
        <w:bidi w:val="0"/>
        <w:adjustRightInd/>
        <w:snapToGrid/>
        <w:spacing w:before="171" w:line="580" w:lineRule="exact"/>
        <w:ind w:left="567" w:right="573" w:firstLine="641"/>
        <w:textAlignment w:val="auto"/>
        <w:rPr>
          <w:color w:val="auto"/>
        </w:rPr>
      </w:pPr>
      <w:r>
        <w:rPr>
          <w:color w:val="auto"/>
        </w:rPr>
        <w:t>202</w:t>
      </w:r>
      <w:r>
        <w:rPr>
          <w:rFonts w:hint="eastAsia"/>
          <w:color w:val="auto"/>
          <w:lang w:val="en-US" w:eastAsia="zh-CN"/>
        </w:rPr>
        <w:t>5</w:t>
      </w:r>
      <w:r>
        <w:rPr>
          <w:color w:val="auto"/>
          <w:spacing w:val="-10"/>
        </w:rPr>
        <w:t>年</w:t>
      </w:r>
      <w:r>
        <w:rPr>
          <w:rFonts w:hint="eastAsia"/>
          <w:color w:val="auto"/>
          <w:spacing w:val="-10"/>
          <w:lang w:eastAsia="zh-CN"/>
        </w:rPr>
        <w:t>，</w:t>
      </w:r>
      <w:r>
        <w:rPr>
          <w:color w:val="auto"/>
          <w:spacing w:val="-10"/>
        </w:rPr>
        <w:t>我街道</w:t>
      </w:r>
      <w:r>
        <w:rPr>
          <w:rFonts w:hint="eastAsia"/>
          <w:color w:val="auto"/>
          <w:lang w:eastAsia="zh-CN"/>
        </w:rPr>
        <w:t>认真贯彻落实</w:t>
      </w:r>
      <w:r>
        <w:rPr>
          <w:color w:val="auto"/>
        </w:rPr>
        <w:t>上级</w:t>
      </w:r>
      <w:r>
        <w:rPr>
          <w:rFonts w:hint="eastAsia"/>
          <w:color w:val="auto"/>
          <w:lang w:eastAsia="zh-CN"/>
        </w:rPr>
        <w:t>关于</w:t>
      </w:r>
      <w:r>
        <w:rPr>
          <w:color w:val="auto"/>
        </w:rPr>
        <w:t>政务公开工作</w:t>
      </w:r>
      <w:r>
        <w:rPr>
          <w:rFonts w:hint="eastAsia"/>
          <w:color w:val="auto"/>
          <w:lang w:eastAsia="zh-CN"/>
        </w:rPr>
        <w:t>的</w:t>
      </w:r>
      <w:r>
        <w:rPr>
          <w:color w:val="auto"/>
        </w:rPr>
        <w:t>统一部署</w:t>
      </w:r>
      <w:r>
        <w:rPr>
          <w:rFonts w:hint="eastAsia"/>
          <w:color w:val="auto"/>
          <w:lang w:eastAsia="zh-CN"/>
        </w:rPr>
        <w:t>，</w:t>
      </w:r>
      <w:r>
        <w:rPr>
          <w:rFonts w:hint="eastAsia"/>
          <w:color w:val="auto"/>
          <w:spacing w:val="-10"/>
          <w:lang w:eastAsia="zh-CN"/>
        </w:rPr>
        <w:t>严格按照《中华人民共和国政府信息公开条例》及相关规定，</w:t>
      </w:r>
      <w:r>
        <w:rPr>
          <w:color w:val="auto"/>
        </w:rPr>
        <w:t>遵循公正、公平、合法、便民的原则，</w:t>
      </w:r>
      <w:r>
        <w:rPr>
          <w:rFonts w:hint="eastAsia"/>
          <w:color w:val="auto"/>
          <w:lang w:eastAsia="zh-CN"/>
        </w:rPr>
        <w:t>持续深化政务公开工作，</w:t>
      </w:r>
      <w:r>
        <w:rPr>
          <w:color w:val="auto"/>
          <w:spacing w:val="-13"/>
        </w:rPr>
        <w:t>积极履行政府信息公开职能，</w:t>
      </w:r>
      <w:r>
        <w:rPr>
          <w:rFonts w:hint="eastAsia"/>
          <w:color w:val="auto"/>
          <w:spacing w:val="-13"/>
          <w:lang w:eastAsia="zh-CN"/>
        </w:rPr>
        <w:t>推动政务公开与政府服务深度融合，</w:t>
      </w:r>
      <w:r>
        <w:rPr>
          <w:color w:val="auto"/>
          <w:spacing w:val="-13"/>
        </w:rPr>
        <w:t>切实</w:t>
      </w:r>
      <w:r>
        <w:rPr>
          <w:rFonts w:hint="eastAsia"/>
          <w:color w:val="auto"/>
          <w:spacing w:val="-13"/>
          <w:lang w:eastAsia="zh-CN"/>
        </w:rPr>
        <w:t>保障群众的知情权、参与权和监督权</w:t>
      </w:r>
      <w:r>
        <w:rPr>
          <w:color w:val="auto"/>
          <w:spacing w:val="-13"/>
        </w:rPr>
        <w:t>。</w:t>
      </w:r>
    </w:p>
    <w:p>
      <w:pPr>
        <w:pStyle w:val="2"/>
        <w:spacing w:before="11"/>
      </w:pPr>
      <w:r>
        <w:t>（一）主动公开</w:t>
      </w:r>
    </w:p>
    <w:p>
      <w:pPr>
        <w:pStyle w:val="3"/>
        <w:keepNext w:val="0"/>
        <w:keepLines w:val="0"/>
        <w:pageBreakBefore w:val="0"/>
        <w:widowControl w:val="0"/>
        <w:kinsoku/>
        <w:wordWrap/>
        <w:overflowPunct/>
        <w:topLinePunct w:val="0"/>
        <w:autoSpaceDE w:val="0"/>
        <w:autoSpaceDN w:val="0"/>
        <w:bidi w:val="0"/>
        <w:adjustRightInd/>
        <w:snapToGrid/>
        <w:spacing w:before="0" w:line="580" w:lineRule="exact"/>
        <w:ind w:left="567" w:right="573" w:firstLine="641"/>
        <w:textAlignment w:val="auto"/>
        <w:rPr>
          <w:highlight w:val="yellow"/>
        </w:rPr>
      </w:pPr>
      <w:r>
        <w:rPr>
          <w:spacing w:val="-10"/>
        </w:rPr>
        <w:t>“龙岩市永定区人民政府”门户网站是我街道政府信息公开的主要平台</w:t>
      </w:r>
      <w:r>
        <w:rPr>
          <w:spacing w:val="-10"/>
          <w:highlight w:val="none"/>
        </w:rPr>
        <w:t>。202</w:t>
      </w:r>
      <w:r>
        <w:rPr>
          <w:rFonts w:hint="eastAsia"/>
          <w:spacing w:val="-10"/>
          <w:highlight w:val="none"/>
          <w:lang w:val="en-US" w:eastAsia="zh-CN"/>
        </w:rPr>
        <w:t>5</w:t>
      </w:r>
      <w:r>
        <w:rPr>
          <w:spacing w:val="-10"/>
          <w:highlight w:val="none"/>
        </w:rPr>
        <w:t>年我街道在永定区政府门户网站凤城街道栏目中完善政府信息公开指南、政府信息公开相关工作制度等内</w:t>
      </w:r>
      <w:r>
        <w:rPr>
          <w:spacing w:val="-23"/>
          <w:highlight w:val="none"/>
        </w:rPr>
        <w:t>容，</w:t>
      </w:r>
      <w:r>
        <w:rPr>
          <w:spacing w:val="-10"/>
          <w:highlight w:val="none"/>
        </w:rPr>
        <w:t>202</w:t>
      </w:r>
      <w:r>
        <w:rPr>
          <w:rFonts w:hint="eastAsia"/>
          <w:spacing w:val="-10"/>
          <w:highlight w:val="none"/>
          <w:lang w:val="en-US" w:eastAsia="zh-CN"/>
        </w:rPr>
        <w:t>5</w:t>
      </w:r>
      <w:r>
        <w:rPr>
          <w:spacing w:val="-10"/>
          <w:highlight w:val="none"/>
        </w:rPr>
        <w:t>年主动公开各类政务信息共计</w:t>
      </w:r>
      <w:r>
        <w:rPr>
          <w:rFonts w:hint="eastAsia"/>
          <w:spacing w:val="-10"/>
          <w:highlight w:val="none"/>
          <w:lang w:val="en-US" w:eastAsia="zh-CN"/>
        </w:rPr>
        <w:t>4</w:t>
      </w:r>
      <w:r>
        <w:rPr>
          <w:spacing w:val="-10"/>
          <w:highlight w:val="none"/>
        </w:rPr>
        <w:t>条，</w:t>
      </w:r>
      <w:r>
        <w:rPr>
          <w:rFonts w:hint="eastAsia"/>
          <w:spacing w:val="-10"/>
          <w:highlight w:val="none"/>
          <w:lang w:eastAsia="zh-CN"/>
        </w:rPr>
        <w:t>人事任免</w:t>
      </w:r>
      <w:r>
        <w:rPr>
          <w:spacing w:val="-10"/>
          <w:highlight w:val="none"/>
        </w:rPr>
        <w:t>信息</w:t>
      </w:r>
      <w:r>
        <w:rPr>
          <w:rFonts w:hint="eastAsia"/>
          <w:spacing w:val="-10"/>
          <w:highlight w:val="none"/>
          <w:lang w:val="en-US" w:eastAsia="zh-CN"/>
        </w:rPr>
        <w:t>2</w:t>
      </w:r>
      <w:r>
        <w:rPr>
          <w:spacing w:val="-10"/>
          <w:highlight w:val="none"/>
        </w:rPr>
        <w:t>条，</w:t>
      </w:r>
      <w:r>
        <w:rPr>
          <w:rFonts w:hint="eastAsia"/>
          <w:spacing w:val="-10"/>
          <w:highlight w:val="none"/>
          <w:lang w:eastAsia="zh-CN"/>
        </w:rPr>
        <w:t>民生服务</w:t>
      </w:r>
      <w:r>
        <w:rPr>
          <w:spacing w:val="-10"/>
          <w:highlight w:val="none"/>
        </w:rPr>
        <w:t>信息</w:t>
      </w:r>
      <w:r>
        <w:rPr>
          <w:rFonts w:hint="eastAsia"/>
          <w:spacing w:val="-10"/>
          <w:highlight w:val="none"/>
          <w:lang w:val="en-US" w:eastAsia="zh-CN"/>
        </w:rPr>
        <w:t>1</w:t>
      </w:r>
      <w:r>
        <w:rPr>
          <w:spacing w:val="-10"/>
          <w:highlight w:val="none"/>
        </w:rPr>
        <w:t>条</w:t>
      </w:r>
      <w:r>
        <w:rPr>
          <w:rFonts w:hint="eastAsia"/>
          <w:spacing w:val="-10"/>
          <w:highlight w:val="none"/>
          <w:lang w:eastAsia="zh-CN"/>
        </w:rPr>
        <w:t>，财政信息</w:t>
      </w:r>
      <w:r>
        <w:rPr>
          <w:rFonts w:hint="eastAsia"/>
          <w:spacing w:val="-10"/>
          <w:highlight w:val="none"/>
          <w:lang w:val="en-US" w:eastAsia="zh-CN"/>
        </w:rPr>
        <w:t>1</w:t>
      </w:r>
      <w:r>
        <w:rPr>
          <w:spacing w:val="-10"/>
          <w:highlight w:val="none"/>
        </w:rPr>
        <w:t>条。</w:t>
      </w:r>
    </w:p>
    <w:p>
      <w:pPr>
        <w:pStyle w:val="2"/>
      </w:pPr>
      <w:r>
        <w:t>（二）依申请公开</w:t>
      </w:r>
    </w:p>
    <w:p>
      <w:pPr>
        <w:pStyle w:val="3"/>
        <w:spacing w:before="170"/>
        <w:ind w:left="1207"/>
      </w:pPr>
      <w:r>
        <w:t>202</w:t>
      </w:r>
      <w:r>
        <w:rPr>
          <w:rFonts w:hint="eastAsia"/>
          <w:lang w:val="en-US" w:eastAsia="zh-CN"/>
        </w:rPr>
        <w:t>5</w:t>
      </w:r>
      <w:r>
        <w:t>年，我街道无受理申请的情况，依申请公开信息数为0</w:t>
      </w:r>
    </w:p>
    <w:p>
      <w:pPr>
        <w:pStyle w:val="3"/>
        <w:spacing w:before="12"/>
        <w:rPr>
          <w:sz w:val="8"/>
        </w:rPr>
      </w:pPr>
    </w:p>
    <w:p>
      <w:pPr>
        <w:pStyle w:val="3"/>
        <w:spacing w:before="54"/>
        <w:ind w:left="566"/>
      </w:pPr>
      <w:r>
        <w:t>条。</w:t>
      </w:r>
    </w:p>
    <w:p>
      <w:pPr>
        <w:pStyle w:val="3"/>
        <w:numPr>
          <w:ilvl w:val="0"/>
          <w:numId w:val="0"/>
        </w:numPr>
        <w:tabs>
          <w:tab w:val="left" w:pos="1451"/>
        </w:tabs>
        <w:spacing w:before="24" w:line="338" w:lineRule="auto"/>
        <w:ind w:leftChars="200" w:right="571" w:rightChars="0" w:firstLine="642" w:firstLineChars="200"/>
        <w:jc w:val="both"/>
      </w:pPr>
      <w:r>
        <w:rPr>
          <w:rFonts w:hint="eastAsia" w:ascii="楷体_GB2312" w:hAnsi="楷体_GB2312" w:eastAsia="楷体_GB2312" w:cs="楷体_GB2312"/>
          <w:b/>
          <w:bCs/>
          <w:sz w:val="32"/>
          <w:szCs w:val="32"/>
          <w:lang w:val="zh-CN" w:eastAsia="zh-CN" w:bidi="zh-CN"/>
        </w:rPr>
        <w:t>（三）政府信息管理</w:t>
      </w:r>
    </w:p>
    <w:p>
      <w:pPr>
        <w:pStyle w:val="3"/>
        <w:numPr>
          <w:ilvl w:val="0"/>
          <w:numId w:val="0"/>
        </w:numPr>
        <w:spacing w:before="24" w:line="338" w:lineRule="auto"/>
        <w:ind w:leftChars="200" w:right="571" w:rightChars="0" w:firstLine="640" w:firstLineChars="200"/>
        <w:jc w:val="both"/>
        <w:rPr>
          <w:rFonts w:hint="eastAsia" w:ascii="楷体_GB2312" w:hAnsi="楷体_GB2312" w:eastAsia="楷体_GB2312" w:cs="楷体_GB2312"/>
          <w:b w:val="0"/>
          <w:bCs w:val="0"/>
          <w:sz w:val="32"/>
          <w:szCs w:val="32"/>
          <w:lang w:val="zh-CN" w:eastAsia="zh-CN" w:bidi="zh-CN"/>
        </w:rPr>
      </w:pPr>
      <w:r>
        <w:rPr>
          <w:rFonts w:hint="eastAsia"/>
        </w:rPr>
        <w:t>严格执行政府信息公开“三审三校”制度和政府信息公开保密审查制度，公开相关信息前，依照规定对拟公开的政府信息进行保密审查，经办公室人员核稿检查，分管党政办领导初步审核，主要领导审查同意后方能公开，确保公开的信息不危及国家安全、公共安全、经济安全和社会稳定，不涉及国家秘密、商业秘密、个人隐私，杜绝泄密事件发生，确保信息发布的真实性、准确性、安全性。</w:t>
      </w:r>
    </w:p>
    <w:p>
      <w:pPr>
        <w:pStyle w:val="2"/>
        <w:spacing w:before="6"/>
        <w:rPr>
          <w:rFonts w:ascii="仿宋_GB2312" w:hAnsi="仿宋_GB2312" w:eastAsia="仿宋_GB2312" w:cs="仿宋_GB2312"/>
          <w:kern w:val="0"/>
          <w:sz w:val="32"/>
          <w:szCs w:val="32"/>
          <w:highlight w:val="none"/>
          <w:lang w:val="zh-CN" w:eastAsia="zh-CN" w:bidi="zh-CN"/>
        </w:rPr>
      </w:pPr>
      <w:r>
        <w:rPr>
          <w:rFonts w:ascii="仿宋_GB2312" w:hAnsi="仿宋_GB2312" w:eastAsia="仿宋_GB2312" w:cs="仿宋_GB2312"/>
          <w:kern w:val="0"/>
          <w:sz w:val="32"/>
          <w:szCs w:val="32"/>
          <w:highlight w:val="none"/>
          <w:lang w:val="zh-CN" w:eastAsia="zh-CN" w:bidi="zh-CN"/>
        </w:rPr>
        <w:t>（四）政府信息公开平台建设</w:t>
      </w:r>
    </w:p>
    <w:p>
      <w:pPr>
        <w:pStyle w:val="3"/>
        <w:spacing w:before="168" w:line="340" w:lineRule="auto"/>
        <w:ind w:left="566" w:right="458" w:firstLine="640"/>
      </w:pPr>
      <w:r>
        <w:rPr>
          <w:spacing w:val="-9"/>
        </w:rPr>
        <w:t>我街道未开设政府网站，未发行政府公报，主要依托龙岩市永定区人民政府门户网站作为我街道政府信息公开的主要平台</w:t>
      </w:r>
      <w:r>
        <w:rPr>
          <w:rFonts w:hint="eastAsia"/>
          <w:spacing w:val="-9"/>
          <w:lang w:eastAsia="zh-CN"/>
        </w:rPr>
        <w:t>，</w:t>
      </w:r>
      <w:r>
        <w:rPr>
          <w:rFonts w:ascii="仿宋_GB2312" w:hAnsi="宋体" w:eastAsia="仿宋_GB2312" w:cs="仿宋_GB2312"/>
          <w:i w:val="0"/>
          <w:caps w:val="0"/>
          <w:color w:val="000000"/>
          <w:spacing w:val="0"/>
          <w:sz w:val="31"/>
          <w:szCs w:val="31"/>
          <w:shd w:val="clear" w:fill="FFFFFF"/>
        </w:rPr>
        <w:t>安排专人负责政府信息的收集、整理、分类、统计、审核、发布等各项工作，同时做好网站</w:t>
      </w:r>
      <w:r>
        <w:rPr>
          <w:rFonts w:hint="eastAsia" w:ascii="仿宋_GB2312" w:hAnsi="宋体" w:eastAsia="仿宋_GB2312" w:cs="仿宋_GB2312"/>
          <w:i w:val="0"/>
          <w:caps w:val="0"/>
          <w:color w:val="000000"/>
          <w:spacing w:val="0"/>
          <w:sz w:val="31"/>
          <w:szCs w:val="31"/>
          <w:shd w:val="clear" w:fill="FFFFFF"/>
        </w:rPr>
        <w:t>的后台维护，确保政府信息公开工作规范、有序地顺利推进。</w:t>
      </w:r>
    </w:p>
    <w:p>
      <w:pPr>
        <w:pStyle w:val="2"/>
        <w:spacing w:before="0" w:line="397" w:lineRule="exact"/>
        <w:rPr>
          <w:highlight w:val="none"/>
        </w:rPr>
      </w:pPr>
      <w:r>
        <w:rPr>
          <w:highlight w:val="none"/>
        </w:rPr>
        <w:t>（五）监督保障</w:t>
      </w:r>
    </w:p>
    <w:p>
      <w:pPr>
        <w:pStyle w:val="3"/>
        <w:spacing w:before="168" w:line="340" w:lineRule="auto"/>
        <w:ind w:left="566" w:right="458" w:firstLine="640"/>
        <w:rPr>
          <w:sz w:val="47"/>
        </w:rPr>
      </w:pPr>
      <w:r>
        <w:rPr>
          <w:rFonts w:ascii="仿宋_GB2312" w:hAnsi="宋体" w:eastAsia="仿宋_GB2312" w:cs="仿宋_GB2312"/>
          <w:i w:val="0"/>
          <w:caps w:val="0"/>
          <w:color w:val="000000"/>
          <w:spacing w:val="0"/>
          <w:sz w:val="31"/>
          <w:szCs w:val="31"/>
          <w:shd w:val="clear" w:fill="FFFFFF"/>
        </w:rPr>
        <w:t>进一步建立健全政府信息公开工作机制，推动政府信息公开工作制度化、规范化，更好发挥政府信息公开对于政府工作的监督、规范作用。接受群众和社会的监督，确保公开内容符合法律法规要求，及时反映人民群众关心的热点、难点问题。</w:t>
      </w:r>
    </w:p>
    <w:p>
      <w:pPr>
        <w:pStyle w:val="3"/>
        <w:spacing w:after="28"/>
        <w:ind w:firstLine="640" w:firstLineChars="200"/>
        <w:rPr>
          <w:rFonts w:hint="eastAsia" w:ascii="黑体" w:eastAsia="黑体"/>
        </w:rPr>
      </w:pPr>
      <w:r>
        <w:rPr>
          <w:rFonts w:hint="eastAsia" w:ascii="黑体" w:eastAsia="黑体"/>
        </w:rPr>
        <w:t>二、主动公开政府信息情况</w:t>
      </w:r>
    </w:p>
    <w:tbl>
      <w:tblPr>
        <w:tblStyle w:val="5"/>
        <w:tblW w:w="0" w:type="auto"/>
        <w:tblInd w:w="1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35"/>
        <w:gridCol w:w="2435"/>
        <w:gridCol w:w="2435"/>
        <w:gridCol w:w="243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9740" w:type="dxa"/>
            <w:gridSpan w:val="4"/>
            <w:shd w:val="clear" w:color="auto" w:fill="C5D9F0"/>
          </w:tcPr>
          <w:p>
            <w:pPr>
              <w:pStyle w:val="10"/>
              <w:spacing w:before="42"/>
              <w:ind w:left="3950" w:right="3930"/>
              <w:rPr>
                <w:sz w:val="20"/>
              </w:rPr>
            </w:pPr>
            <w:r>
              <w:rPr>
                <w:sz w:val="20"/>
              </w:rPr>
              <w:t>第二十条第（一）项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0" w:right="797"/>
              <w:jc w:val="right"/>
              <w:rPr>
                <w:sz w:val="20"/>
              </w:rPr>
            </w:pPr>
            <w:r>
              <w:rPr>
                <w:w w:val="95"/>
                <w:sz w:val="20"/>
              </w:rPr>
              <w:t>信息内容</w:t>
            </w:r>
          </w:p>
        </w:tc>
        <w:tc>
          <w:tcPr>
            <w:tcW w:w="2435" w:type="dxa"/>
          </w:tcPr>
          <w:p>
            <w:pPr>
              <w:pStyle w:val="10"/>
              <w:spacing w:before="42"/>
              <w:ind w:left="594" w:right="578"/>
              <w:rPr>
                <w:sz w:val="20"/>
              </w:rPr>
            </w:pPr>
            <w:r>
              <w:rPr>
                <w:sz w:val="20"/>
              </w:rPr>
              <w:t>本年制发件数</w:t>
            </w:r>
          </w:p>
        </w:tc>
        <w:tc>
          <w:tcPr>
            <w:tcW w:w="2435" w:type="dxa"/>
          </w:tcPr>
          <w:p>
            <w:pPr>
              <w:pStyle w:val="10"/>
              <w:spacing w:before="42"/>
              <w:ind w:left="595" w:right="577"/>
              <w:rPr>
                <w:sz w:val="20"/>
              </w:rPr>
            </w:pPr>
            <w:r>
              <w:rPr>
                <w:sz w:val="20"/>
              </w:rPr>
              <w:t>本年废止件数</w:t>
            </w:r>
          </w:p>
        </w:tc>
        <w:tc>
          <w:tcPr>
            <w:tcW w:w="2435" w:type="dxa"/>
          </w:tcPr>
          <w:p>
            <w:pPr>
              <w:pStyle w:val="10"/>
              <w:spacing w:before="42"/>
              <w:ind w:left="593" w:right="578"/>
              <w:rPr>
                <w:sz w:val="20"/>
              </w:rPr>
            </w:pPr>
            <w:r>
              <w:rPr>
                <w:sz w:val="20"/>
              </w:rPr>
              <w:t>现行有效件数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55"/>
              <w:jc w:val="left"/>
              <w:rPr>
                <w:sz w:val="20"/>
              </w:rPr>
            </w:pPr>
            <w:r>
              <w:rPr>
                <w:sz w:val="20"/>
              </w:rPr>
              <w:t>规章</w:t>
            </w:r>
          </w:p>
        </w:tc>
        <w:tc>
          <w:tcPr>
            <w:tcW w:w="2435" w:type="dxa"/>
          </w:tcPr>
          <w:p>
            <w:pPr>
              <w:pStyle w:val="10"/>
              <w:spacing w:before="42"/>
              <w:ind w:left="15"/>
              <w:rPr>
                <w:sz w:val="20"/>
              </w:rPr>
            </w:pPr>
            <w:r>
              <w:rPr>
                <w:w w:val="99"/>
                <w:sz w:val="20"/>
              </w:rPr>
              <w:t>0</w:t>
            </w:r>
          </w:p>
        </w:tc>
        <w:tc>
          <w:tcPr>
            <w:tcW w:w="2435" w:type="dxa"/>
          </w:tcPr>
          <w:p>
            <w:pPr>
              <w:pStyle w:val="10"/>
              <w:spacing w:before="42"/>
              <w:rPr>
                <w:sz w:val="20"/>
              </w:rPr>
            </w:pPr>
            <w:r>
              <w:rPr>
                <w:w w:val="99"/>
                <w:sz w:val="20"/>
              </w:rPr>
              <w:t>0</w:t>
            </w:r>
          </w:p>
        </w:tc>
        <w:tc>
          <w:tcPr>
            <w:tcW w:w="2435" w:type="dxa"/>
          </w:tcPr>
          <w:p>
            <w:pPr>
              <w:pStyle w:val="10"/>
              <w:spacing w:before="42"/>
              <w:ind w:left="16"/>
              <w:rPr>
                <w:rFonts w:ascii="Calibri"/>
                <w:sz w:val="21"/>
              </w:rPr>
            </w:pPr>
            <w:r>
              <w:rPr>
                <w:rFonts w:ascii="Calibri"/>
                <w:w w:val="99"/>
                <w:sz w:val="21"/>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9" w:hRule="atLeast"/>
        </w:trPr>
        <w:tc>
          <w:tcPr>
            <w:tcW w:w="2435" w:type="dxa"/>
          </w:tcPr>
          <w:p>
            <w:pPr>
              <w:pStyle w:val="10"/>
              <w:spacing w:before="42"/>
              <w:ind w:left="55"/>
              <w:jc w:val="left"/>
              <w:rPr>
                <w:sz w:val="20"/>
              </w:rPr>
            </w:pPr>
            <w:r>
              <w:rPr>
                <w:sz w:val="20"/>
              </w:rPr>
              <w:t>行政规范性文件</w:t>
            </w:r>
          </w:p>
        </w:tc>
        <w:tc>
          <w:tcPr>
            <w:tcW w:w="2435" w:type="dxa"/>
          </w:tcPr>
          <w:p>
            <w:pPr>
              <w:pStyle w:val="10"/>
              <w:spacing w:before="42"/>
              <w:ind w:left="15"/>
              <w:rPr>
                <w:rFonts w:hint="eastAsia" w:eastAsia="宋体"/>
                <w:sz w:val="20"/>
                <w:lang w:val="en-US" w:eastAsia="zh-CN"/>
              </w:rPr>
            </w:pPr>
            <w:r>
              <w:rPr>
                <w:rFonts w:hint="eastAsia"/>
                <w:sz w:val="20"/>
                <w:lang w:val="en-US" w:eastAsia="zh-CN"/>
              </w:rPr>
              <w:t>0</w:t>
            </w:r>
          </w:p>
        </w:tc>
        <w:tc>
          <w:tcPr>
            <w:tcW w:w="2435" w:type="dxa"/>
          </w:tcPr>
          <w:p>
            <w:pPr>
              <w:pStyle w:val="10"/>
              <w:spacing w:before="42"/>
              <w:rPr>
                <w:sz w:val="20"/>
              </w:rPr>
            </w:pPr>
            <w:r>
              <w:rPr>
                <w:w w:val="99"/>
                <w:sz w:val="20"/>
              </w:rPr>
              <w:t>0</w:t>
            </w:r>
          </w:p>
        </w:tc>
        <w:tc>
          <w:tcPr>
            <w:tcW w:w="2435" w:type="dxa"/>
          </w:tcPr>
          <w:p>
            <w:pPr>
              <w:pStyle w:val="10"/>
              <w:spacing w:before="42"/>
              <w:ind w:left="16"/>
              <w:rPr>
                <w:rFonts w:hint="eastAsia" w:ascii="Calibri" w:eastAsia="宋体"/>
                <w:sz w:val="21"/>
                <w:lang w:eastAsia="zh-CN"/>
              </w:rPr>
            </w:pPr>
            <w:r>
              <w:rPr>
                <w:rFonts w:hint="eastAsia" w:ascii="Calibri"/>
                <w:w w:val="99"/>
                <w:sz w:val="21"/>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9740" w:type="dxa"/>
            <w:gridSpan w:val="4"/>
            <w:shd w:val="clear" w:color="auto" w:fill="C5D9F0"/>
          </w:tcPr>
          <w:p>
            <w:pPr>
              <w:pStyle w:val="10"/>
              <w:spacing w:before="42"/>
              <w:ind w:left="3950" w:right="3930"/>
              <w:rPr>
                <w:sz w:val="20"/>
              </w:rPr>
            </w:pPr>
            <w:r>
              <w:rPr>
                <w:sz w:val="20"/>
              </w:rPr>
              <w:t>第二十条第（五）项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55"/>
              <w:jc w:val="left"/>
              <w:rPr>
                <w:sz w:val="20"/>
              </w:rPr>
            </w:pPr>
            <w:r>
              <w:rPr>
                <w:sz w:val="20"/>
              </w:rPr>
              <w:t>信息内容</w:t>
            </w:r>
          </w:p>
        </w:tc>
        <w:tc>
          <w:tcPr>
            <w:tcW w:w="7305" w:type="dxa"/>
            <w:gridSpan w:val="3"/>
          </w:tcPr>
          <w:p>
            <w:pPr>
              <w:pStyle w:val="10"/>
              <w:spacing w:before="42"/>
              <w:ind w:left="2327" w:right="2314"/>
              <w:rPr>
                <w:sz w:val="20"/>
              </w:rPr>
            </w:pPr>
            <w:r>
              <w:rPr>
                <w:sz w:val="20"/>
              </w:rPr>
              <w:t>本年处理决定数量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55"/>
              <w:jc w:val="left"/>
              <w:rPr>
                <w:sz w:val="20"/>
              </w:rPr>
            </w:pPr>
            <w:r>
              <w:rPr>
                <w:sz w:val="20"/>
              </w:rPr>
              <w:t>行政许可</w:t>
            </w:r>
          </w:p>
        </w:tc>
        <w:tc>
          <w:tcPr>
            <w:tcW w:w="7305" w:type="dxa"/>
            <w:gridSpan w:val="3"/>
          </w:tcPr>
          <w:p>
            <w:pPr>
              <w:pStyle w:val="10"/>
              <w:spacing w:before="42"/>
              <w:ind w:left="19"/>
              <w:rPr>
                <w:rFonts w:ascii="Calibri"/>
                <w:sz w:val="21"/>
              </w:rPr>
            </w:pPr>
            <w:r>
              <w:rPr>
                <w:rFonts w:ascii="Calibri"/>
                <w:w w:val="99"/>
                <w:sz w:val="21"/>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9740" w:type="dxa"/>
            <w:gridSpan w:val="4"/>
            <w:shd w:val="clear" w:color="auto" w:fill="C5D9F0"/>
          </w:tcPr>
          <w:p>
            <w:pPr>
              <w:pStyle w:val="10"/>
              <w:spacing w:before="42"/>
              <w:ind w:left="3950" w:right="3930"/>
              <w:rPr>
                <w:sz w:val="20"/>
              </w:rPr>
            </w:pPr>
            <w:r>
              <w:rPr>
                <w:sz w:val="20"/>
              </w:rPr>
              <w:t>第二十条第（六）项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0" w:right="797"/>
              <w:jc w:val="right"/>
              <w:rPr>
                <w:sz w:val="20"/>
              </w:rPr>
            </w:pPr>
            <w:r>
              <w:rPr>
                <w:w w:val="95"/>
                <w:sz w:val="20"/>
              </w:rPr>
              <w:t>信息内容</w:t>
            </w:r>
          </w:p>
        </w:tc>
        <w:tc>
          <w:tcPr>
            <w:tcW w:w="7305" w:type="dxa"/>
            <w:gridSpan w:val="3"/>
          </w:tcPr>
          <w:p>
            <w:pPr>
              <w:pStyle w:val="10"/>
              <w:spacing w:before="42"/>
              <w:ind w:left="2327" w:right="2314"/>
              <w:rPr>
                <w:sz w:val="20"/>
              </w:rPr>
            </w:pPr>
            <w:r>
              <w:rPr>
                <w:sz w:val="20"/>
              </w:rPr>
              <w:t>本年处理决定数量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55"/>
              <w:jc w:val="left"/>
              <w:rPr>
                <w:sz w:val="20"/>
              </w:rPr>
            </w:pPr>
            <w:r>
              <w:rPr>
                <w:sz w:val="20"/>
              </w:rPr>
              <w:t>行政处罚</w:t>
            </w:r>
          </w:p>
        </w:tc>
        <w:tc>
          <w:tcPr>
            <w:tcW w:w="7305" w:type="dxa"/>
            <w:gridSpan w:val="3"/>
          </w:tcPr>
          <w:p>
            <w:pPr>
              <w:pStyle w:val="10"/>
              <w:spacing w:before="42"/>
              <w:rPr>
                <w:sz w:val="20"/>
              </w:rPr>
            </w:pPr>
            <w:r>
              <w:rPr>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55"/>
              <w:jc w:val="left"/>
              <w:rPr>
                <w:sz w:val="20"/>
              </w:rPr>
            </w:pPr>
            <w:r>
              <w:rPr>
                <w:sz w:val="20"/>
              </w:rPr>
              <w:t>行政强制</w:t>
            </w:r>
          </w:p>
        </w:tc>
        <w:tc>
          <w:tcPr>
            <w:tcW w:w="7305" w:type="dxa"/>
            <w:gridSpan w:val="3"/>
          </w:tcPr>
          <w:p>
            <w:pPr>
              <w:pStyle w:val="10"/>
              <w:spacing w:before="42"/>
              <w:rPr>
                <w:sz w:val="20"/>
              </w:rPr>
            </w:pPr>
            <w:r>
              <w:rPr>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9740" w:type="dxa"/>
            <w:gridSpan w:val="4"/>
            <w:shd w:val="clear" w:color="auto" w:fill="C5D9F0"/>
          </w:tcPr>
          <w:p>
            <w:pPr>
              <w:pStyle w:val="10"/>
              <w:spacing w:before="42"/>
              <w:ind w:left="3950" w:right="3930"/>
              <w:rPr>
                <w:sz w:val="20"/>
              </w:rPr>
            </w:pPr>
            <w:r>
              <w:rPr>
                <w:sz w:val="20"/>
              </w:rPr>
              <w:t>第二十条第（八）项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5" w:type="dxa"/>
          </w:tcPr>
          <w:p>
            <w:pPr>
              <w:pStyle w:val="10"/>
              <w:spacing w:before="42"/>
              <w:ind w:left="0" w:right="797"/>
              <w:jc w:val="right"/>
              <w:rPr>
                <w:sz w:val="20"/>
              </w:rPr>
            </w:pPr>
            <w:r>
              <w:rPr>
                <w:w w:val="95"/>
                <w:sz w:val="20"/>
              </w:rPr>
              <w:t>信息内容</w:t>
            </w:r>
          </w:p>
        </w:tc>
        <w:tc>
          <w:tcPr>
            <w:tcW w:w="7305" w:type="dxa"/>
            <w:gridSpan w:val="3"/>
          </w:tcPr>
          <w:p>
            <w:pPr>
              <w:pStyle w:val="10"/>
              <w:spacing w:before="42"/>
              <w:ind w:left="2330" w:right="2314"/>
              <w:rPr>
                <w:sz w:val="20"/>
              </w:rPr>
            </w:pPr>
            <w:r>
              <w:rPr>
                <w:sz w:val="20"/>
              </w:rPr>
              <w:t>本年收费金额（单位：万元）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1" w:hRule="atLeast"/>
        </w:trPr>
        <w:tc>
          <w:tcPr>
            <w:tcW w:w="2435" w:type="dxa"/>
          </w:tcPr>
          <w:p>
            <w:pPr>
              <w:pStyle w:val="10"/>
              <w:spacing w:before="128"/>
              <w:ind w:left="55"/>
              <w:jc w:val="left"/>
              <w:rPr>
                <w:sz w:val="20"/>
              </w:rPr>
            </w:pPr>
            <w:r>
              <w:rPr>
                <w:sz w:val="20"/>
              </w:rPr>
              <w:t>行政事业性收费</w:t>
            </w:r>
          </w:p>
        </w:tc>
        <w:tc>
          <w:tcPr>
            <w:tcW w:w="7305" w:type="dxa"/>
            <w:gridSpan w:val="3"/>
          </w:tcPr>
          <w:p>
            <w:pPr>
              <w:pStyle w:val="10"/>
              <w:spacing w:before="2"/>
              <w:ind w:left="19"/>
              <w:rPr>
                <w:sz w:val="24"/>
              </w:rPr>
            </w:pPr>
            <w:r>
              <w:rPr>
                <w:sz w:val="24"/>
              </w:rPr>
              <w:t>0</w:t>
            </w:r>
          </w:p>
        </w:tc>
      </w:tr>
    </w:tbl>
    <w:p>
      <w:pPr>
        <w:pStyle w:val="3"/>
        <w:spacing w:before="12"/>
        <w:rPr>
          <w:rFonts w:ascii="黑体"/>
          <w:sz w:val="25"/>
        </w:rPr>
      </w:pPr>
    </w:p>
    <w:p>
      <w:pPr>
        <w:pStyle w:val="3"/>
        <w:spacing w:after="28"/>
        <w:ind w:firstLine="640" w:firstLineChars="200"/>
        <w:rPr>
          <w:rFonts w:hint="eastAsia" w:ascii="黑体" w:eastAsia="黑体"/>
        </w:rPr>
      </w:pPr>
    </w:p>
    <w:p>
      <w:pPr>
        <w:pStyle w:val="3"/>
        <w:spacing w:after="28"/>
        <w:ind w:firstLine="640" w:firstLineChars="200"/>
        <w:rPr>
          <w:rFonts w:hint="eastAsia" w:ascii="黑体" w:eastAsia="黑体"/>
        </w:rPr>
      </w:pPr>
      <w:r>
        <w:rPr>
          <w:rFonts w:hint="eastAsia" w:ascii="黑体" w:eastAsia="黑体"/>
        </w:rPr>
        <w:t>三、收到和处理政府信息公开申请情况</w:t>
      </w:r>
    </w:p>
    <w:tbl>
      <w:tblPr>
        <w:tblStyle w:val="5"/>
        <w:tblW w:w="0" w:type="auto"/>
        <w:tblInd w:w="1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02"/>
        <w:gridCol w:w="801"/>
        <w:gridCol w:w="3204"/>
        <w:gridCol w:w="684"/>
        <w:gridCol w:w="684"/>
        <w:gridCol w:w="684"/>
        <w:gridCol w:w="684"/>
        <w:gridCol w:w="684"/>
        <w:gridCol w:w="687"/>
        <w:gridCol w:w="68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4907" w:type="dxa"/>
            <w:gridSpan w:val="3"/>
            <w:vMerge w:val="restart"/>
          </w:tcPr>
          <w:p>
            <w:pPr>
              <w:pStyle w:val="10"/>
              <w:spacing w:before="0"/>
              <w:ind w:left="0"/>
              <w:jc w:val="left"/>
              <w:rPr>
                <w:rFonts w:ascii="黑体"/>
                <w:sz w:val="20"/>
              </w:rPr>
            </w:pPr>
          </w:p>
          <w:p>
            <w:pPr>
              <w:pStyle w:val="10"/>
              <w:spacing w:before="11"/>
              <w:ind w:left="0"/>
              <w:jc w:val="left"/>
              <w:rPr>
                <w:rFonts w:ascii="黑体"/>
                <w:sz w:val="20"/>
              </w:rPr>
            </w:pPr>
          </w:p>
          <w:p>
            <w:pPr>
              <w:pStyle w:val="10"/>
              <w:spacing w:before="0" w:line="242" w:lineRule="auto"/>
              <w:ind w:left="106" w:right="180"/>
              <w:jc w:val="left"/>
              <w:rPr>
                <w:sz w:val="20"/>
              </w:rPr>
            </w:pPr>
            <w:r>
              <w:rPr>
                <w:w w:val="95"/>
                <w:sz w:val="20"/>
              </w:rPr>
              <w:t xml:space="preserve">（本列数据的勾稽关系为：第一项加第二项之和，等 </w:t>
            </w:r>
            <w:r>
              <w:rPr>
                <w:sz w:val="20"/>
              </w:rPr>
              <w:t>于第三项加第四项之和）</w:t>
            </w:r>
          </w:p>
        </w:tc>
        <w:tc>
          <w:tcPr>
            <w:tcW w:w="4792" w:type="dxa"/>
            <w:gridSpan w:val="7"/>
          </w:tcPr>
          <w:p>
            <w:pPr>
              <w:pStyle w:val="10"/>
              <w:spacing w:before="29"/>
              <w:ind w:left="1874" w:right="1857"/>
              <w:rPr>
                <w:sz w:val="20"/>
              </w:rPr>
            </w:pPr>
            <w:r>
              <w:rPr>
                <w:sz w:val="20"/>
              </w:rPr>
              <w:t>申请人情况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4907" w:type="dxa"/>
            <w:gridSpan w:val="3"/>
            <w:vMerge w:val="continue"/>
            <w:tcBorders>
              <w:top w:val="nil"/>
            </w:tcBorders>
          </w:tcPr>
          <w:p>
            <w:pPr>
              <w:rPr>
                <w:sz w:val="2"/>
                <w:szCs w:val="2"/>
              </w:rPr>
            </w:pPr>
          </w:p>
        </w:tc>
        <w:tc>
          <w:tcPr>
            <w:tcW w:w="684" w:type="dxa"/>
            <w:vMerge w:val="restart"/>
          </w:tcPr>
          <w:p>
            <w:pPr>
              <w:pStyle w:val="10"/>
              <w:spacing w:before="10"/>
              <w:ind w:left="0"/>
              <w:jc w:val="left"/>
              <w:rPr>
                <w:rFonts w:ascii="黑体"/>
                <w:sz w:val="27"/>
              </w:rPr>
            </w:pPr>
          </w:p>
          <w:p>
            <w:pPr>
              <w:pStyle w:val="10"/>
              <w:spacing w:before="0" w:line="242" w:lineRule="auto"/>
              <w:ind w:left="242" w:right="122" w:hanging="101"/>
              <w:jc w:val="left"/>
              <w:rPr>
                <w:sz w:val="20"/>
              </w:rPr>
            </w:pPr>
            <w:r>
              <w:rPr>
                <w:sz w:val="20"/>
              </w:rPr>
              <w:t>自然人</w:t>
            </w:r>
          </w:p>
        </w:tc>
        <w:tc>
          <w:tcPr>
            <w:tcW w:w="3423" w:type="dxa"/>
            <w:gridSpan w:val="5"/>
          </w:tcPr>
          <w:p>
            <w:pPr>
              <w:pStyle w:val="10"/>
              <w:spacing w:before="27"/>
              <w:ind w:left="1010"/>
              <w:jc w:val="left"/>
              <w:rPr>
                <w:sz w:val="20"/>
              </w:rPr>
            </w:pPr>
            <w:r>
              <w:rPr>
                <w:sz w:val="20"/>
              </w:rPr>
              <w:t>法人或其他组织</w:t>
            </w:r>
          </w:p>
        </w:tc>
        <w:tc>
          <w:tcPr>
            <w:tcW w:w="685" w:type="dxa"/>
            <w:vMerge w:val="restart"/>
          </w:tcPr>
          <w:p>
            <w:pPr>
              <w:pStyle w:val="10"/>
              <w:spacing w:before="0"/>
              <w:ind w:left="0"/>
              <w:jc w:val="left"/>
              <w:rPr>
                <w:rFonts w:ascii="黑体"/>
                <w:sz w:val="20"/>
              </w:rPr>
            </w:pPr>
          </w:p>
          <w:p>
            <w:pPr>
              <w:pStyle w:val="10"/>
              <w:spacing w:before="11"/>
              <w:ind w:left="0"/>
              <w:jc w:val="left"/>
              <w:rPr>
                <w:rFonts w:ascii="黑体"/>
                <w:sz w:val="17"/>
              </w:rPr>
            </w:pPr>
          </w:p>
          <w:p>
            <w:pPr>
              <w:pStyle w:val="10"/>
              <w:spacing w:before="1"/>
              <w:ind w:left="140"/>
              <w:jc w:val="left"/>
              <w:rPr>
                <w:sz w:val="20"/>
              </w:rPr>
            </w:pPr>
            <w:r>
              <w:rPr>
                <w:sz w:val="20"/>
              </w:rPr>
              <w:t>总计</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5" w:hRule="atLeast"/>
        </w:trPr>
        <w:tc>
          <w:tcPr>
            <w:tcW w:w="4907" w:type="dxa"/>
            <w:gridSpan w:val="3"/>
            <w:vMerge w:val="continue"/>
            <w:tcBorders>
              <w:top w:val="nil"/>
            </w:tcBorders>
          </w:tcPr>
          <w:p>
            <w:pPr>
              <w:rPr>
                <w:sz w:val="2"/>
                <w:szCs w:val="2"/>
              </w:rPr>
            </w:pPr>
          </w:p>
        </w:tc>
        <w:tc>
          <w:tcPr>
            <w:tcW w:w="684" w:type="dxa"/>
            <w:vMerge w:val="continue"/>
            <w:tcBorders>
              <w:top w:val="nil"/>
            </w:tcBorders>
          </w:tcPr>
          <w:p>
            <w:pPr>
              <w:rPr>
                <w:sz w:val="2"/>
                <w:szCs w:val="2"/>
              </w:rPr>
            </w:pPr>
          </w:p>
        </w:tc>
        <w:tc>
          <w:tcPr>
            <w:tcW w:w="684" w:type="dxa"/>
          </w:tcPr>
          <w:p>
            <w:pPr>
              <w:pStyle w:val="10"/>
              <w:spacing w:before="12"/>
              <w:ind w:left="0"/>
              <w:jc w:val="left"/>
              <w:rPr>
                <w:rFonts w:ascii="黑体"/>
                <w:sz w:val="14"/>
              </w:rPr>
            </w:pPr>
          </w:p>
          <w:p>
            <w:pPr>
              <w:pStyle w:val="10"/>
              <w:spacing w:before="0"/>
              <w:ind w:left="141" w:right="122"/>
              <w:jc w:val="left"/>
              <w:rPr>
                <w:sz w:val="20"/>
              </w:rPr>
            </w:pPr>
            <w:r>
              <w:rPr>
                <w:sz w:val="20"/>
              </w:rPr>
              <w:t>商业企业</w:t>
            </w:r>
          </w:p>
        </w:tc>
        <w:tc>
          <w:tcPr>
            <w:tcW w:w="684" w:type="dxa"/>
          </w:tcPr>
          <w:p>
            <w:pPr>
              <w:pStyle w:val="10"/>
              <w:spacing w:before="12"/>
              <w:ind w:left="0"/>
              <w:jc w:val="left"/>
              <w:rPr>
                <w:rFonts w:ascii="黑体"/>
                <w:sz w:val="14"/>
              </w:rPr>
            </w:pPr>
          </w:p>
          <w:p>
            <w:pPr>
              <w:pStyle w:val="10"/>
              <w:spacing w:before="0"/>
              <w:ind w:left="141" w:right="122"/>
              <w:jc w:val="left"/>
              <w:rPr>
                <w:sz w:val="20"/>
              </w:rPr>
            </w:pPr>
            <w:r>
              <w:rPr>
                <w:sz w:val="20"/>
              </w:rPr>
              <w:t>科研机构</w:t>
            </w:r>
          </w:p>
        </w:tc>
        <w:tc>
          <w:tcPr>
            <w:tcW w:w="684" w:type="dxa"/>
          </w:tcPr>
          <w:p>
            <w:pPr>
              <w:pStyle w:val="10"/>
              <w:spacing w:before="59" w:line="242" w:lineRule="auto"/>
              <w:ind w:left="141" w:right="122"/>
              <w:jc w:val="both"/>
              <w:rPr>
                <w:sz w:val="20"/>
              </w:rPr>
            </w:pPr>
            <w:r>
              <w:rPr>
                <w:sz w:val="20"/>
              </w:rPr>
              <w:t>社会公益组织</w:t>
            </w:r>
          </w:p>
        </w:tc>
        <w:tc>
          <w:tcPr>
            <w:tcW w:w="684" w:type="dxa"/>
          </w:tcPr>
          <w:p>
            <w:pPr>
              <w:pStyle w:val="10"/>
              <w:spacing w:before="59" w:line="242" w:lineRule="auto"/>
              <w:ind w:left="141" w:right="122"/>
              <w:jc w:val="both"/>
              <w:rPr>
                <w:sz w:val="20"/>
              </w:rPr>
            </w:pPr>
            <w:r>
              <w:rPr>
                <w:sz w:val="20"/>
              </w:rPr>
              <w:t>法律服务机构</w:t>
            </w:r>
          </w:p>
        </w:tc>
        <w:tc>
          <w:tcPr>
            <w:tcW w:w="687" w:type="dxa"/>
          </w:tcPr>
          <w:p>
            <w:pPr>
              <w:pStyle w:val="10"/>
              <w:spacing w:before="11"/>
              <w:ind w:left="0"/>
              <w:jc w:val="left"/>
              <w:rPr>
                <w:rFonts w:ascii="黑体"/>
                <w:sz w:val="24"/>
              </w:rPr>
            </w:pPr>
          </w:p>
          <w:p>
            <w:pPr>
              <w:pStyle w:val="10"/>
              <w:spacing w:before="0"/>
              <w:ind w:left="120" w:right="107"/>
              <w:rPr>
                <w:sz w:val="20"/>
              </w:rPr>
            </w:pPr>
            <w:r>
              <w:rPr>
                <w:sz w:val="20"/>
              </w:rPr>
              <w:t>其他</w:t>
            </w:r>
          </w:p>
        </w:tc>
        <w:tc>
          <w:tcPr>
            <w:tcW w:w="685" w:type="dxa"/>
            <w:vMerge w:val="continue"/>
            <w:tcBorders>
              <w:top w:val="nil"/>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4907" w:type="dxa"/>
            <w:gridSpan w:val="3"/>
          </w:tcPr>
          <w:p>
            <w:pPr>
              <w:pStyle w:val="10"/>
              <w:spacing w:before="27"/>
              <w:ind w:left="56"/>
              <w:jc w:val="left"/>
              <w:rPr>
                <w:sz w:val="20"/>
              </w:rPr>
            </w:pPr>
            <w:r>
              <w:rPr>
                <w:sz w:val="20"/>
              </w:rPr>
              <w:t>一、本年新收政府信息公开申请数量</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4907" w:type="dxa"/>
            <w:gridSpan w:val="3"/>
          </w:tcPr>
          <w:p>
            <w:pPr>
              <w:pStyle w:val="10"/>
              <w:spacing w:before="28"/>
              <w:ind w:left="56"/>
              <w:jc w:val="left"/>
              <w:rPr>
                <w:sz w:val="20"/>
              </w:rPr>
            </w:pPr>
            <w:r>
              <w:rPr>
                <w:sz w:val="20"/>
              </w:rPr>
              <w:t>二、上年结转政府信息公开申请数量</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902" w:type="dxa"/>
          </w:tcPr>
          <w:p>
            <w:pPr>
              <w:pStyle w:val="10"/>
              <w:spacing w:before="28"/>
              <w:ind w:left="56"/>
              <w:jc w:val="left"/>
              <w:rPr>
                <w:sz w:val="20"/>
              </w:rPr>
            </w:pPr>
            <w:r>
              <w:rPr>
                <w:sz w:val="20"/>
              </w:rPr>
              <w:t>三、本年</w:t>
            </w:r>
          </w:p>
        </w:tc>
        <w:tc>
          <w:tcPr>
            <w:tcW w:w="4005" w:type="dxa"/>
            <w:gridSpan w:val="2"/>
          </w:tcPr>
          <w:p>
            <w:pPr>
              <w:pStyle w:val="10"/>
              <w:spacing w:before="28"/>
              <w:ind w:left="56"/>
              <w:jc w:val="left"/>
              <w:rPr>
                <w:sz w:val="20"/>
              </w:rPr>
            </w:pPr>
            <w:r>
              <w:rPr>
                <w:sz w:val="20"/>
              </w:rPr>
              <w:t>（一）予以公开</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902" w:type="dxa"/>
            <w:vMerge w:val="restart"/>
            <w:tcBorders>
              <w:top w:val="nil"/>
            </w:tcBorders>
          </w:tcPr>
          <w:p>
            <w:pPr>
              <w:pStyle w:val="10"/>
              <w:spacing w:before="20" w:line="242" w:lineRule="auto"/>
              <w:ind w:left="56" w:right="223"/>
              <w:jc w:val="left"/>
              <w:rPr>
                <w:sz w:val="20"/>
              </w:rPr>
            </w:pPr>
            <w:r>
              <w:rPr>
                <w:sz w:val="20"/>
              </w:rPr>
              <w:t>度办理结果</w:t>
            </w:r>
          </w:p>
        </w:tc>
        <w:tc>
          <w:tcPr>
            <w:tcW w:w="4005" w:type="dxa"/>
            <w:gridSpan w:val="2"/>
            <w:tcBorders>
              <w:top w:val="nil"/>
            </w:tcBorders>
          </w:tcPr>
          <w:p>
            <w:pPr>
              <w:pStyle w:val="10"/>
              <w:spacing w:before="64" w:line="242" w:lineRule="auto"/>
              <w:ind w:left="56" w:right="127"/>
              <w:jc w:val="left"/>
              <w:rPr>
                <w:sz w:val="20"/>
              </w:rPr>
            </w:pPr>
            <w:r>
              <w:rPr>
                <w:sz w:val="20"/>
              </w:rPr>
              <w:t>（二）部分公开（区分处理的，只计这一情形，不计其他情形）</w:t>
            </w:r>
          </w:p>
        </w:tc>
        <w:tc>
          <w:tcPr>
            <w:tcW w:w="684" w:type="dxa"/>
            <w:tcBorders>
              <w:top w:val="nil"/>
            </w:tcBorders>
          </w:tcPr>
          <w:p>
            <w:pPr>
              <w:pStyle w:val="10"/>
              <w:spacing w:before="6"/>
              <w:ind w:left="0"/>
              <w:jc w:val="left"/>
              <w:rPr>
                <w:rFonts w:ascii="黑体"/>
                <w:sz w:val="15"/>
              </w:rPr>
            </w:pPr>
          </w:p>
          <w:p>
            <w:pPr>
              <w:pStyle w:val="10"/>
              <w:spacing w:before="0"/>
              <w:rPr>
                <w:rFonts w:ascii="Calibri"/>
                <w:sz w:val="20"/>
              </w:rPr>
            </w:pPr>
            <w:r>
              <w:rPr>
                <w:rFonts w:ascii="Calibri"/>
                <w:w w:val="99"/>
                <w:sz w:val="20"/>
              </w:rPr>
              <w:t>0</w:t>
            </w:r>
          </w:p>
        </w:tc>
        <w:tc>
          <w:tcPr>
            <w:tcW w:w="684" w:type="dxa"/>
            <w:tcBorders>
              <w:top w:val="nil"/>
            </w:tcBorders>
          </w:tcPr>
          <w:p>
            <w:pPr>
              <w:pStyle w:val="10"/>
              <w:spacing w:before="6"/>
              <w:ind w:left="0"/>
              <w:jc w:val="left"/>
              <w:rPr>
                <w:rFonts w:ascii="黑体"/>
                <w:sz w:val="15"/>
              </w:rPr>
            </w:pPr>
          </w:p>
          <w:p>
            <w:pPr>
              <w:pStyle w:val="10"/>
              <w:spacing w:before="0"/>
              <w:rPr>
                <w:rFonts w:ascii="Calibri"/>
                <w:sz w:val="20"/>
              </w:rPr>
            </w:pPr>
            <w:r>
              <w:rPr>
                <w:rFonts w:ascii="Calibri"/>
                <w:w w:val="99"/>
                <w:sz w:val="20"/>
              </w:rPr>
              <w:t>0</w:t>
            </w:r>
          </w:p>
        </w:tc>
        <w:tc>
          <w:tcPr>
            <w:tcW w:w="684" w:type="dxa"/>
            <w:tcBorders>
              <w:top w:val="nil"/>
            </w:tcBorders>
          </w:tcPr>
          <w:p>
            <w:pPr>
              <w:pStyle w:val="10"/>
              <w:spacing w:before="6"/>
              <w:ind w:left="0"/>
              <w:jc w:val="left"/>
              <w:rPr>
                <w:rFonts w:ascii="黑体"/>
                <w:sz w:val="15"/>
              </w:rPr>
            </w:pPr>
          </w:p>
          <w:p>
            <w:pPr>
              <w:pStyle w:val="10"/>
              <w:spacing w:before="0"/>
              <w:ind w:left="0" w:right="270"/>
              <w:jc w:val="right"/>
              <w:rPr>
                <w:rFonts w:ascii="Calibri"/>
                <w:sz w:val="20"/>
              </w:rPr>
            </w:pPr>
            <w:r>
              <w:rPr>
                <w:rFonts w:ascii="Calibri"/>
                <w:w w:val="99"/>
                <w:sz w:val="20"/>
              </w:rPr>
              <w:t>0</w:t>
            </w:r>
          </w:p>
        </w:tc>
        <w:tc>
          <w:tcPr>
            <w:tcW w:w="684" w:type="dxa"/>
            <w:tcBorders>
              <w:top w:val="nil"/>
            </w:tcBorders>
          </w:tcPr>
          <w:p>
            <w:pPr>
              <w:pStyle w:val="10"/>
              <w:spacing w:before="6"/>
              <w:ind w:left="0"/>
              <w:jc w:val="left"/>
              <w:rPr>
                <w:rFonts w:ascii="黑体"/>
                <w:sz w:val="15"/>
              </w:rPr>
            </w:pPr>
          </w:p>
          <w:p>
            <w:pPr>
              <w:pStyle w:val="10"/>
              <w:spacing w:before="0"/>
              <w:rPr>
                <w:rFonts w:ascii="Calibri"/>
                <w:sz w:val="20"/>
              </w:rPr>
            </w:pPr>
            <w:r>
              <w:rPr>
                <w:rFonts w:ascii="Calibri"/>
                <w:w w:val="99"/>
                <w:sz w:val="20"/>
              </w:rPr>
              <w:t>0</w:t>
            </w:r>
          </w:p>
        </w:tc>
        <w:tc>
          <w:tcPr>
            <w:tcW w:w="684" w:type="dxa"/>
            <w:tcBorders>
              <w:top w:val="nil"/>
            </w:tcBorders>
          </w:tcPr>
          <w:p>
            <w:pPr>
              <w:pStyle w:val="10"/>
              <w:spacing w:before="6"/>
              <w:ind w:left="0"/>
              <w:jc w:val="left"/>
              <w:rPr>
                <w:rFonts w:ascii="黑体"/>
                <w:sz w:val="15"/>
              </w:rPr>
            </w:pPr>
          </w:p>
          <w:p>
            <w:pPr>
              <w:pStyle w:val="10"/>
              <w:spacing w:before="0"/>
              <w:rPr>
                <w:rFonts w:ascii="Calibri"/>
                <w:sz w:val="20"/>
              </w:rPr>
            </w:pPr>
            <w:r>
              <w:rPr>
                <w:rFonts w:ascii="Calibri"/>
                <w:w w:val="99"/>
                <w:sz w:val="20"/>
              </w:rPr>
              <w:t>0</w:t>
            </w:r>
          </w:p>
        </w:tc>
        <w:tc>
          <w:tcPr>
            <w:tcW w:w="687" w:type="dxa"/>
            <w:tcBorders>
              <w:top w:val="nil"/>
            </w:tcBorders>
          </w:tcPr>
          <w:p>
            <w:pPr>
              <w:pStyle w:val="10"/>
              <w:spacing w:before="6"/>
              <w:ind w:left="0"/>
              <w:jc w:val="left"/>
              <w:rPr>
                <w:rFonts w:ascii="黑体"/>
                <w:sz w:val="15"/>
              </w:rPr>
            </w:pPr>
          </w:p>
          <w:p>
            <w:pPr>
              <w:pStyle w:val="10"/>
              <w:spacing w:before="0"/>
              <w:ind w:left="19"/>
              <w:rPr>
                <w:rFonts w:ascii="Calibri"/>
                <w:sz w:val="20"/>
              </w:rPr>
            </w:pPr>
            <w:r>
              <w:rPr>
                <w:rFonts w:ascii="Calibri"/>
                <w:w w:val="99"/>
                <w:sz w:val="20"/>
              </w:rPr>
              <w:t>0</w:t>
            </w:r>
          </w:p>
        </w:tc>
        <w:tc>
          <w:tcPr>
            <w:tcW w:w="685" w:type="dxa"/>
            <w:tcBorders>
              <w:top w:val="nil"/>
            </w:tcBorders>
          </w:tcPr>
          <w:p>
            <w:pPr>
              <w:pStyle w:val="10"/>
              <w:spacing w:before="6"/>
              <w:ind w:left="0"/>
              <w:jc w:val="left"/>
              <w:rPr>
                <w:rFonts w:ascii="黑体"/>
                <w:sz w:val="15"/>
              </w:rPr>
            </w:pPr>
          </w:p>
          <w:p>
            <w:pPr>
              <w:pStyle w:val="10"/>
              <w:spacing w:before="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restart"/>
          </w:tcPr>
          <w:p>
            <w:pPr>
              <w:pStyle w:val="10"/>
              <w:spacing w:before="0"/>
              <w:ind w:left="0"/>
              <w:jc w:val="left"/>
              <w:rPr>
                <w:rFonts w:ascii="黑体"/>
                <w:sz w:val="20"/>
              </w:rPr>
            </w:pPr>
          </w:p>
          <w:p>
            <w:pPr>
              <w:pStyle w:val="10"/>
              <w:spacing w:before="0"/>
              <w:ind w:left="0"/>
              <w:jc w:val="left"/>
              <w:rPr>
                <w:rFonts w:ascii="黑体"/>
                <w:sz w:val="20"/>
              </w:rPr>
            </w:pPr>
          </w:p>
          <w:p>
            <w:pPr>
              <w:pStyle w:val="10"/>
              <w:spacing w:before="0"/>
              <w:ind w:left="0"/>
              <w:jc w:val="left"/>
              <w:rPr>
                <w:rFonts w:ascii="黑体"/>
                <w:sz w:val="20"/>
              </w:rPr>
            </w:pPr>
          </w:p>
          <w:p>
            <w:pPr>
              <w:pStyle w:val="10"/>
              <w:spacing w:before="164" w:line="242" w:lineRule="auto"/>
              <w:ind w:left="56" w:right="122"/>
              <w:jc w:val="both"/>
              <w:rPr>
                <w:sz w:val="20"/>
              </w:rPr>
            </w:pPr>
            <w:r>
              <w:rPr>
                <w:sz w:val="20"/>
              </w:rPr>
              <w:t>（三） 不予公开</w:t>
            </w:r>
          </w:p>
        </w:tc>
        <w:tc>
          <w:tcPr>
            <w:tcW w:w="3204" w:type="dxa"/>
          </w:tcPr>
          <w:p>
            <w:pPr>
              <w:pStyle w:val="10"/>
              <w:spacing w:before="2"/>
              <w:ind w:left="57"/>
              <w:jc w:val="left"/>
              <w:rPr>
                <w:sz w:val="20"/>
              </w:rPr>
            </w:pPr>
            <w:r>
              <w:rPr>
                <w:sz w:val="20"/>
              </w:rPr>
              <w:t>1.属于国家秘密</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2"/>
              <w:ind w:left="57"/>
              <w:jc w:val="left"/>
              <w:rPr>
                <w:sz w:val="20"/>
              </w:rPr>
            </w:pPr>
            <w:r>
              <w:rPr>
                <w:sz w:val="20"/>
              </w:rPr>
              <w:t>2.其他法律行政法规禁止公开</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3"/>
              <w:ind w:left="57"/>
              <w:jc w:val="left"/>
              <w:rPr>
                <w:sz w:val="20"/>
              </w:rPr>
            </w:pPr>
            <w:r>
              <w:rPr>
                <w:sz w:val="20"/>
              </w:rPr>
              <w:t>3.危及“三安全一稳定”</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1"/>
              <w:ind w:left="57"/>
              <w:jc w:val="left"/>
              <w:rPr>
                <w:sz w:val="20"/>
              </w:rPr>
            </w:pPr>
            <w:r>
              <w:rPr>
                <w:sz w:val="20"/>
              </w:rPr>
              <w:t>4.保护第三方合法权益</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ind w:left="0" w:right="270"/>
              <w:jc w:val="right"/>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7" w:type="dxa"/>
          </w:tcPr>
          <w:p>
            <w:pPr>
              <w:pStyle w:val="10"/>
              <w:spacing w:before="32"/>
              <w:ind w:left="19"/>
              <w:rPr>
                <w:rFonts w:ascii="Calibri"/>
                <w:sz w:val="20"/>
              </w:rPr>
            </w:pPr>
            <w:r>
              <w:rPr>
                <w:rFonts w:ascii="Calibri"/>
                <w:w w:val="99"/>
                <w:sz w:val="20"/>
              </w:rPr>
              <w:t>0</w:t>
            </w:r>
          </w:p>
        </w:tc>
        <w:tc>
          <w:tcPr>
            <w:tcW w:w="685" w:type="dxa"/>
          </w:tcPr>
          <w:p>
            <w:pPr>
              <w:pStyle w:val="10"/>
              <w:spacing w:before="32"/>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2"/>
              <w:ind w:left="57"/>
              <w:jc w:val="left"/>
              <w:rPr>
                <w:sz w:val="20"/>
              </w:rPr>
            </w:pPr>
            <w:r>
              <w:rPr>
                <w:sz w:val="20"/>
              </w:rPr>
              <w:t>5.属于三类内部事务信息</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2"/>
              <w:ind w:left="57"/>
              <w:jc w:val="left"/>
              <w:rPr>
                <w:sz w:val="20"/>
              </w:rPr>
            </w:pPr>
            <w:r>
              <w:rPr>
                <w:sz w:val="20"/>
              </w:rPr>
              <w:t>6.属于四类过程性信息</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3"/>
              <w:ind w:left="57"/>
              <w:jc w:val="left"/>
              <w:rPr>
                <w:sz w:val="20"/>
              </w:rPr>
            </w:pPr>
            <w:r>
              <w:rPr>
                <w:sz w:val="20"/>
              </w:rPr>
              <w:t>7.属于行政执法案卷</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1"/>
              <w:ind w:left="57"/>
              <w:jc w:val="left"/>
              <w:rPr>
                <w:sz w:val="20"/>
              </w:rPr>
            </w:pPr>
            <w:r>
              <w:rPr>
                <w:sz w:val="20"/>
              </w:rPr>
              <w:t>8.属于行政查询事项</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ind w:left="0" w:right="270"/>
              <w:jc w:val="right"/>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7" w:type="dxa"/>
          </w:tcPr>
          <w:p>
            <w:pPr>
              <w:pStyle w:val="10"/>
              <w:spacing w:before="32"/>
              <w:ind w:left="19"/>
              <w:rPr>
                <w:rFonts w:ascii="Calibri"/>
                <w:sz w:val="20"/>
              </w:rPr>
            </w:pPr>
            <w:r>
              <w:rPr>
                <w:rFonts w:ascii="Calibri"/>
                <w:w w:val="99"/>
                <w:sz w:val="20"/>
              </w:rPr>
              <w:t>0</w:t>
            </w:r>
          </w:p>
        </w:tc>
        <w:tc>
          <w:tcPr>
            <w:tcW w:w="685" w:type="dxa"/>
          </w:tcPr>
          <w:p>
            <w:pPr>
              <w:pStyle w:val="10"/>
              <w:spacing w:before="32"/>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902" w:type="dxa"/>
            <w:vMerge w:val="continue"/>
            <w:tcBorders>
              <w:top w:val="nil"/>
            </w:tcBorders>
          </w:tcPr>
          <w:p>
            <w:pPr>
              <w:rPr>
                <w:sz w:val="2"/>
                <w:szCs w:val="2"/>
              </w:rPr>
            </w:pPr>
          </w:p>
        </w:tc>
        <w:tc>
          <w:tcPr>
            <w:tcW w:w="801" w:type="dxa"/>
            <w:vMerge w:val="restart"/>
          </w:tcPr>
          <w:p>
            <w:pPr>
              <w:pStyle w:val="10"/>
              <w:spacing w:before="103" w:line="242" w:lineRule="auto"/>
              <w:ind w:left="56" w:right="122"/>
              <w:jc w:val="both"/>
              <w:rPr>
                <w:sz w:val="20"/>
              </w:rPr>
            </w:pPr>
            <w:r>
              <w:rPr>
                <w:sz w:val="20"/>
              </w:rPr>
              <w:t>（四） 无法提供</w:t>
            </w:r>
          </w:p>
        </w:tc>
        <w:tc>
          <w:tcPr>
            <w:tcW w:w="3204" w:type="dxa"/>
          </w:tcPr>
          <w:p>
            <w:pPr>
              <w:pStyle w:val="10"/>
              <w:spacing w:before="2"/>
              <w:ind w:left="57"/>
              <w:jc w:val="left"/>
              <w:rPr>
                <w:sz w:val="20"/>
              </w:rPr>
            </w:pPr>
            <w:r>
              <w:rPr>
                <w:sz w:val="20"/>
              </w:rPr>
              <w:t>1.本机关不掌握相关政府信息</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3"/>
              <w:ind w:left="57"/>
              <w:jc w:val="left"/>
              <w:rPr>
                <w:sz w:val="20"/>
              </w:rPr>
            </w:pPr>
            <w:r>
              <w:rPr>
                <w:sz w:val="20"/>
              </w:rPr>
              <w:t>2.没有现成信息需要另行制作</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3"/>
              <w:ind w:left="57"/>
              <w:jc w:val="left"/>
              <w:rPr>
                <w:sz w:val="20"/>
              </w:rPr>
            </w:pPr>
            <w:r>
              <w:rPr>
                <w:sz w:val="20"/>
              </w:rPr>
              <w:t>3.补正后申请内容仍不明确</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restart"/>
          </w:tcPr>
          <w:p>
            <w:pPr>
              <w:pStyle w:val="10"/>
              <w:spacing w:before="0"/>
              <w:ind w:left="0"/>
              <w:jc w:val="left"/>
              <w:rPr>
                <w:rFonts w:ascii="黑体"/>
                <w:sz w:val="20"/>
              </w:rPr>
            </w:pPr>
          </w:p>
          <w:p>
            <w:pPr>
              <w:pStyle w:val="10"/>
              <w:spacing w:before="0"/>
              <w:ind w:left="0"/>
              <w:jc w:val="left"/>
              <w:rPr>
                <w:rFonts w:ascii="黑体"/>
                <w:sz w:val="20"/>
              </w:rPr>
            </w:pPr>
          </w:p>
          <w:p>
            <w:pPr>
              <w:pStyle w:val="10"/>
              <w:spacing w:before="8"/>
              <w:ind w:left="0"/>
              <w:jc w:val="left"/>
              <w:rPr>
                <w:rFonts w:ascii="黑体"/>
                <w:sz w:val="16"/>
              </w:rPr>
            </w:pPr>
          </w:p>
          <w:p>
            <w:pPr>
              <w:pStyle w:val="10"/>
              <w:spacing w:before="1" w:line="242" w:lineRule="auto"/>
              <w:ind w:left="56" w:right="122"/>
              <w:jc w:val="both"/>
              <w:rPr>
                <w:sz w:val="20"/>
              </w:rPr>
            </w:pPr>
            <w:r>
              <w:rPr>
                <w:sz w:val="20"/>
              </w:rPr>
              <w:t>（五） 不予处理</w:t>
            </w:r>
          </w:p>
        </w:tc>
        <w:tc>
          <w:tcPr>
            <w:tcW w:w="3204" w:type="dxa"/>
          </w:tcPr>
          <w:p>
            <w:pPr>
              <w:pStyle w:val="10"/>
              <w:spacing w:before="1"/>
              <w:ind w:left="57"/>
              <w:jc w:val="left"/>
              <w:rPr>
                <w:sz w:val="20"/>
              </w:rPr>
            </w:pPr>
            <w:r>
              <w:rPr>
                <w:sz w:val="20"/>
              </w:rPr>
              <w:t>1.信访举报投诉类申请</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ind w:left="0" w:right="270"/>
              <w:jc w:val="right"/>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4" w:type="dxa"/>
          </w:tcPr>
          <w:p>
            <w:pPr>
              <w:pStyle w:val="10"/>
              <w:spacing w:before="32"/>
              <w:rPr>
                <w:rFonts w:ascii="Calibri"/>
                <w:sz w:val="20"/>
              </w:rPr>
            </w:pPr>
            <w:r>
              <w:rPr>
                <w:rFonts w:ascii="Calibri"/>
                <w:w w:val="99"/>
                <w:sz w:val="20"/>
              </w:rPr>
              <w:t>0</w:t>
            </w:r>
          </w:p>
        </w:tc>
        <w:tc>
          <w:tcPr>
            <w:tcW w:w="687" w:type="dxa"/>
          </w:tcPr>
          <w:p>
            <w:pPr>
              <w:pStyle w:val="10"/>
              <w:spacing w:before="32"/>
              <w:ind w:left="19"/>
              <w:rPr>
                <w:rFonts w:ascii="Calibri"/>
                <w:sz w:val="20"/>
              </w:rPr>
            </w:pPr>
            <w:r>
              <w:rPr>
                <w:rFonts w:ascii="Calibri"/>
                <w:w w:val="99"/>
                <w:sz w:val="20"/>
              </w:rPr>
              <w:t>0</w:t>
            </w:r>
          </w:p>
        </w:tc>
        <w:tc>
          <w:tcPr>
            <w:tcW w:w="685" w:type="dxa"/>
          </w:tcPr>
          <w:p>
            <w:pPr>
              <w:pStyle w:val="10"/>
              <w:spacing w:before="32"/>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2"/>
              <w:ind w:left="57"/>
              <w:jc w:val="left"/>
              <w:rPr>
                <w:sz w:val="20"/>
              </w:rPr>
            </w:pPr>
            <w:r>
              <w:rPr>
                <w:sz w:val="20"/>
              </w:rPr>
              <w:t>2.重复申请</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2"/>
              <w:ind w:left="57"/>
              <w:jc w:val="left"/>
              <w:rPr>
                <w:sz w:val="20"/>
              </w:rPr>
            </w:pPr>
            <w:r>
              <w:rPr>
                <w:sz w:val="20"/>
              </w:rPr>
              <w:t>3.要求提供公开出版物</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3"/>
              <w:ind w:left="57"/>
              <w:jc w:val="left"/>
              <w:rPr>
                <w:sz w:val="20"/>
              </w:rPr>
            </w:pPr>
            <w:r>
              <w:rPr>
                <w:sz w:val="20"/>
              </w:rPr>
              <w:t>4.无正当理由大量反复申请</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5"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11"/>
              <w:ind w:left="0"/>
              <w:jc w:val="left"/>
              <w:rPr>
                <w:rFonts w:ascii="黑体"/>
                <w:sz w:val="14"/>
              </w:rPr>
            </w:pPr>
          </w:p>
          <w:p>
            <w:pPr>
              <w:pStyle w:val="10"/>
              <w:spacing w:before="1" w:line="242" w:lineRule="auto"/>
              <w:ind w:left="57" w:right="38"/>
              <w:jc w:val="left"/>
              <w:rPr>
                <w:sz w:val="20"/>
              </w:rPr>
            </w:pPr>
            <w:r>
              <w:rPr>
                <w:sz w:val="20"/>
              </w:rPr>
              <w:t>5.要求行政机关确认或重新出具已获取信息</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ind w:left="0" w:right="270"/>
              <w:jc w:val="right"/>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7" w:type="dxa"/>
          </w:tcPr>
          <w:p>
            <w:pPr>
              <w:pStyle w:val="10"/>
              <w:spacing w:before="5"/>
              <w:ind w:left="0"/>
              <w:jc w:val="left"/>
              <w:rPr>
                <w:rFonts w:ascii="黑体"/>
                <w:sz w:val="25"/>
              </w:rPr>
            </w:pPr>
          </w:p>
          <w:p>
            <w:pPr>
              <w:pStyle w:val="10"/>
              <w:spacing w:before="0"/>
              <w:ind w:left="19"/>
              <w:rPr>
                <w:rFonts w:ascii="Calibri"/>
                <w:sz w:val="20"/>
              </w:rPr>
            </w:pPr>
            <w:r>
              <w:rPr>
                <w:rFonts w:ascii="Calibri"/>
                <w:w w:val="99"/>
                <w:sz w:val="20"/>
              </w:rPr>
              <w:t>0</w:t>
            </w:r>
          </w:p>
        </w:tc>
        <w:tc>
          <w:tcPr>
            <w:tcW w:w="685" w:type="dxa"/>
          </w:tcPr>
          <w:p>
            <w:pPr>
              <w:pStyle w:val="10"/>
              <w:spacing w:before="5"/>
              <w:ind w:left="0"/>
              <w:jc w:val="left"/>
              <w:rPr>
                <w:rFonts w:ascii="黑体"/>
                <w:sz w:val="25"/>
              </w:rPr>
            </w:pPr>
          </w:p>
          <w:p>
            <w:pPr>
              <w:pStyle w:val="10"/>
              <w:spacing w:before="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5" w:hRule="atLeast"/>
        </w:trPr>
        <w:tc>
          <w:tcPr>
            <w:tcW w:w="902" w:type="dxa"/>
            <w:vMerge w:val="continue"/>
            <w:tcBorders>
              <w:top w:val="nil"/>
            </w:tcBorders>
          </w:tcPr>
          <w:p>
            <w:pPr>
              <w:rPr>
                <w:sz w:val="2"/>
                <w:szCs w:val="2"/>
              </w:rPr>
            </w:pPr>
          </w:p>
        </w:tc>
        <w:tc>
          <w:tcPr>
            <w:tcW w:w="801" w:type="dxa"/>
            <w:vMerge w:val="restart"/>
          </w:tcPr>
          <w:p>
            <w:pPr>
              <w:pStyle w:val="10"/>
              <w:spacing w:before="0"/>
              <w:ind w:left="0"/>
              <w:jc w:val="left"/>
              <w:rPr>
                <w:rFonts w:ascii="黑体"/>
                <w:sz w:val="20"/>
              </w:rPr>
            </w:pPr>
          </w:p>
          <w:p>
            <w:pPr>
              <w:pStyle w:val="10"/>
              <w:spacing w:before="0"/>
              <w:ind w:left="0"/>
              <w:jc w:val="left"/>
              <w:rPr>
                <w:rFonts w:ascii="黑体"/>
                <w:sz w:val="20"/>
              </w:rPr>
            </w:pPr>
          </w:p>
          <w:p>
            <w:pPr>
              <w:pStyle w:val="10"/>
              <w:spacing w:before="171" w:line="242" w:lineRule="auto"/>
              <w:ind w:left="56" w:right="122"/>
              <w:jc w:val="both"/>
              <w:rPr>
                <w:sz w:val="20"/>
              </w:rPr>
            </w:pPr>
            <w:r>
              <w:rPr>
                <w:sz w:val="20"/>
              </w:rPr>
              <w:t>（六） 其他处理</w:t>
            </w:r>
          </w:p>
        </w:tc>
        <w:tc>
          <w:tcPr>
            <w:tcW w:w="3204" w:type="dxa"/>
          </w:tcPr>
          <w:p>
            <w:pPr>
              <w:pStyle w:val="10"/>
              <w:spacing w:before="60" w:line="242" w:lineRule="auto"/>
              <w:ind w:left="57" w:right="36"/>
              <w:jc w:val="both"/>
              <w:rPr>
                <w:sz w:val="20"/>
              </w:rPr>
            </w:pPr>
            <w:r>
              <w:rPr>
                <w:w w:val="95"/>
                <w:sz w:val="20"/>
              </w:rPr>
              <w:t>1.申请人无正当理由逾期不补正、行政机关不再处理其政府信息公开</w:t>
            </w:r>
            <w:r>
              <w:rPr>
                <w:sz w:val="20"/>
              </w:rPr>
              <w:t>申请</w:t>
            </w:r>
          </w:p>
        </w:tc>
        <w:tc>
          <w:tcPr>
            <w:tcW w:w="684" w:type="dxa"/>
          </w:tcPr>
          <w:p>
            <w:pPr>
              <w:pStyle w:val="10"/>
              <w:spacing w:before="3"/>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3"/>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3"/>
              <w:ind w:left="0"/>
              <w:jc w:val="left"/>
              <w:rPr>
                <w:rFonts w:ascii="黑体"/>
                <w:sz w:val="25"/>
              </w:rPr>
            </w:pPr>
          </w:p>
          <w:p>
            <w:pPr>
              <w:pStyle w:val="10"/>
              <w:spacing w:before="0"/>
              <w:ind w:left="0" w:right="270"/>
              <w:jc w:val="right"/>
              <w:rPr>
                <w:rFonts w:ascii="Calibri"/>
                <w:sz w:val="20"/>
              </w:rPr>
            </w:pPr>
            <w:r>
              <w:rPr>
                <w:rFonts w:ascii="Calibri"/>
                <w:w w:val="99"/>
                <w:sz w:val="20"/>
              </w:rPr>
              <w:t>0</w:t>
            </w:r>
          </w:p>
        </w:tc>
        <w:tc>
          <w:tcPr>
            <w:tcW w:w="684" w:type="dxa"/>
          </w:tcPr>
          <w:p>
            <w:pPr>
              <w:pStyle w:val="10"/>
              <w:spacing w:before="3"/>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3"/>
              <w:ind w:left="0"/>
              <w:jc w:val="left"/>
              <w:rPr>
                <w:rFonts w:ascii="黑体"/>
                <w:sz w:val="25"/>
              </w:rPr>
            </w:pPr>
          </w:p>
          <w:p>
            <w:pPr>
              <w:pStyle w:val="10"/>
              <w:spacing w:before="0"/>
              <w:rPr>
                <w:rFonts w:ascii="Calibri"/>
                <w:sz w:val="20"/>
              </w:rPr>
            </w:pPr>
            <w:r>
              <w:rPr>
                <w:rFonts w:ascii="Calibri"/>
                <w:w w:val="99"/>
                <w:sz w:val="20"/>
              </w:rPr>
              <w:t>0</w:t>
            </w:r>
          </w:p>
        </w:tc>
        <w:tc>
          <w:tcPr>
            <w:tcW w:w="687" w:type="dxa"/>
          </w:tcPr>
          <w:p>
            <w:pPr>
              <w:pStyle w:val="10"/>
              <w:spacing w:before="3"/>
              <w:ind w:left="0"/>
              <w:jc w:val="left"/>
              <w:rPr>
                <w:rFonts w:ascii="黑体"/>
                <w:sz w:val="25"/>
              </w:rPr>
            </w:pPr>
          </w:p>
          <w:p>
            <w:pPr>
              <w:pStyle w:val="10"/>
              <w:spacing w:before="0"/>
              <w:ind w:left="19"/>
              <w:rPr>
                <w:rFonts w:ascii="Calibri"/>
                <w:sz w:val="20"/>
              </w:rPr>
            </w:pPr>
            <w:r>
              <w:rPr>
                <w:rFonts w:ascii="Calibri"/>
                <w:w w:val="99"/>
                <w:sz w:val="20"/>
              </w:rPr>
              <w:t>0</w:t>
            </w:r>
          </w:p>
        </w:tc>
        <w:tc>
          <w:tcPr>
            <w:tcW w:w="685" w:type="dxa"/>
          </w:tcPr>
          <w:p>
            <w:pPr>
              <w:pStyle w:val="10"/>
              <w:spacing w:before="3"/>
              <w:ind w:left="0"/>
              <w:jc w:val="left"/>
              <w:rPr>
                <w:rFonts w:ascii="黑体"/>
                <w:sz w:val="25"/>
              </w:rPr>
            </w:pPr>
          </w:p>
          <w:p>
            <w:pPr>
              <w:pStyle w:val="10"/>
              <w:spacing w:before="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5"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59" w:line="242" w:lineRule="auto"/>
              <w:ind w:left="57" w:right="36"/>
              <w:jc w:val="both"/>
              <w:rPr>
                <w:sz w:val="20"/>
              </w:rPr>
            </w:pPr>
            <w:r>
              <w:rPr>
                <w:w w:val="95"/>
                <w:sz w:val="20"/>
              </w:rPr>
              <w:t>2.申请人逾期未按收费通知要求缴纳费用、行政机关不再处理其政府</w:t>
            </w:r>
            <w:r>
              <w:rPr>
                <w:sz w:val="20"/>
              </w:rPr>
              <w:t>信息公开申请</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ind w:left="0" w:right="270"/>
              <w:jc w:val="right"/>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25"/>
              </w:rPr>
            </w:pPr>
          </w:p>
          <w:p>
            <w:pPr>
              <w:pStyle w:val="10"/>
              <w:spacing w:before="0"/>
              <w:rPr>
                <w:rFonts w:ascii="Calibri"/>
                <w:sz w:val="20"/>
              </w:rPr>
            </w:pPr>
            <w:r>
              <w:rPr>
                <w:rFonts w:ascii="Calibri"/>
                <w:w w:val="99"/>
                <w:sz w:val="20"/>
              </w:rPr>
              <w:t>0</w:t>
            </w:r>
          </w:p>
        </w:tc>
        <w:tc>
          <w:tcPr>
            <w:tcW w:w="687" w:type="dxa"/>
          </w:tcPr>
          <w:p>
            <w:pPr>
              <w:pStyle w:val="10"/>
              <w:spacing w:before="5"/>
              <w:ind w:left="0"/>
              <w:jc w:val="left"/>
              <w:rPr>
                <w:rFonts w:ascii="黑体"/>
                <w:sz w:val="25"/>
              </w:rPr>
            </w:pPr>
          </w:p>
          <w:p>
            <w:pPr>
              <w:pStyle w:val="10"/>
              <w:spacing w:before="0"/>
              <w:ind w:left="19"/>
              <w:rPr>
                <w:rFonts w:ascii="Calibri"/>
                <w:sz w:val="20"/>
              </w:rPr>
            </w:pPr>
            <w:r>
              <w:rPr>
                <w:rFonts w:ascii="Calibri"/>
                <w:w w:val="99"/>
                <w:sz w:val="20"/>
              </w:rPr>
              <w:t>0</w:t>
            </w:r>
          </w:p>
        </w:tc>
        <w:tc>
          <w:tcPr>
            <w:tcW w:w="685" w:type="dxa"/>
          </w:tcPr>
          <w:p>
            <w:pPr>
              <w:pStyle w:val="10"/>
              <w:spacing w:before="5"/>
              <w:ind w:left="0"/>
              <w:jc w:val="left"/>
              <w:rPr>
                <w:rFonts w:ascii="黑体"/>
                <w:sz w:val="25"/>
              </w:rPr>
            </w:pPr>
          </w:p>
          <w:p>
            <w:pPr>
              <w:pStyle w:val="10"/>
              <w:spacing w:before="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902" w:type="dxa"/>
            <w:vMerge w:val="continue"/>
            <w:tcBorders>
              <w:top w:val="nil"/>
            </w:tcBorders>
          </w:tcPr>
          <w:p>
            <w:pPr>
              <w:rPr>
                <w:sz w:val="2"/>
                <w:szCs w:val="2"/>
              </w:rPr>
            </w:pPr>
          </w:p>
        </w:tc>
        <w:tc>
          <w:tcPr>
            <w:tcW w:w="801" w:type="dxa"/>
            <w:vMerge w:val="continue"/>
            <w:tcBorders>
              <w:top w:val="nil"/>
            </w:tcBorders>
          </w:tcPr>
          <w:p>
            <w:pPr>
              <w:rPr>
                <w:sz w:val="2"/>
                <w:szCs w:val="2"/>
              </w:rPr>
            </w:pPr>
          </w:p>
        </w:tc>
        <w:tc>
          <w:tcPr>
            <w:tcW w:w="3204" w:type="dxa"/>
          </w:tcPr>
          <w:p>
            <w:pPr>
              <w:pStyle w:val="10"/>
              <w:spacing w:before="27"/>
              <w:ind w:left="57"/>
              <w:jc w:val="left"/>
              <w:rPr>
                <w:sz w:val="20"/>
              </w:rPr>
            </w:pPr>
            <w:r>
              <w:rPr>
                <w:sz w:val="20"/>
              </w:rPr>
              <w:t>3.其他</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ind w:left="0" w:right="270"/>
              <w:jc w:val="right"/>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4" w:type="dxa"/>
          </w:tcPr>
          <w:p>
            <w:pPr>
              <w:pStyle w:val="10"/>
              <w:rPr>
                <w:rFonts w:ascii="Calibri"/>
                <w:sz w:val="20"/>
              </w:rPr>
            </w:pPr>
            <w:r>
              <w:rPr>
                <w:rFonts w:ascii="Calibri"/>
                <w:w w:val="99"/>
                <w:sz w:val="20"/>
              </w:rPr>
              <w:t>0</w:t>
            </w:r>
          </w:p>
        </w:tc>
        <w:tc>
          <w:tcPr>
            <w:tcW w:w="687" w:type="dxa"/>
          </w:tcPr>
          <w:p>
            <w:pPr>
              <w:pStyle w:val="10"/>
              <w:ind w:left="19"/>
              <w:rPr>
                <w:rFonts w:ascii="Calibri"/>
                <w:sz w:val="20"/>
              </w:rPr>
            </w:pPr>
            <w:r>
              <w:rPr>
                <w:rFonts w:ascii="Calibri"/>
                <w:w w:val="99"/>
                <w:sz w:val="20"/>
              </w:rPr>
              <w:t>0</w:t>
            </w:r>
          </w:p>
        </w:tc>
        <w:tc>
          <w:tcPr>
            <w:tcW w:w="685" w:type="dxa"/>
          </w:tcPr>
          <w:p>
            <w:pPr>
              <w:pStyle w:val="10"/>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902" w:type="dxa"/>
            <w:vMerge w:val="continue"/>
            <w:tcBorders>
              <w:top w:val="nil"/>
            </w:tcBorders>
          </w:tcPr>
          <w:p>
            <w:pPr>
              <w:rPr>
                <w:sz w:val="2"/>
                <w:szCs w:val="2"/>
              </w:rPr>
            </w:pPr>
          </w:p>
        </w:tc>
        <w:tc>
          <w:tcPr>
            <w:tcW w:w="4005" w:type="dxa"/>
            <w:gridSpan w:val="2"/>
          </w:tcPr>
          <w:p>
            <w:pPr>
              <w:pStyle w:val="10"/>
              <w:spacing w:before="28"/>
              <w:ind w:left="56"/>
              <w:jc w:val="left"/>
              <w:rPr>
                <w:sz w:val="20"/>
              </w:rPr>
            </w:pPr>
            <w:r>
              <w:rPr>
                <w:sz w:val="20"/>
              </w:rPr>
              <w:t>（七）总计</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ind w:left="0" w:right="270"/>
              <w:jc w:val="right"/>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4" w:type="dxa"/>
          </w:tcPr>
          <w:p>
            <w:pPr>
              <w:pStyle w:val="10"/>
              <w:spacing w:before="33"/>
              <w:rPr>
                <w:rFonts w:ascii="Calibri"/>
                <w:sz w:val="20"/>
              </w:rPr>
            </w:pPr>
            <w:r>
              <w:rPr>
                <w:rFonts w:ascii="Calibri"/>
                <w:w w:val="99"/>
                <w:sz w:val="20"/>
              </w:rPr>
              <w:t>0</w:t>
            </w:r>
          </w:p>
        </w:tc>
        <w:tc>
          <w:tcPr>
            <w:tcW w:w="687" w:type="dxa"/>
          </w:tcPr>
          <w:p>
            <w:pPr>
              <w:pStyle w:val="10"/>
              <w:spacing w:before="33"/>
              <w:ind w:left="19"/>
              <w:rPr>
                <w:rFonts w:ascii="Calibri"/>
                <w:sz w:val="20"/>
              </w:rPr>
            </w:pPr>
            <w:r>
              <w:rPr>
                <w:rFonts w:ascii="Calibri"/>
                <w:w w:val="99"/>
                <w:sz w:val="20"/>
              </w:rPr>
              <w:t>0</w:t>
            </w:r>
          </w:p>
        </w:tc>
        <w:tc>
          <w:tcPr>
            <w:tcW w:w="685" w:type="dxa"/>
          </w:tcPr>
          <w:p>
            <w:pPr>
              <w:pStyle w:val="10"/>
              <w:spacing w:before="33"/>
              <w:ind w:left="19"/>
              <w:rPr>
                <w:rFonts w:ascii="Calibri"/>
                <w:sz w:val="20"/>
              </w:rPr>
            </w:pPr>
            <w:r>
              <w:rPr>
                <w:rFonts w:ascii="Calibri"/>
                <w:w w:val="99"/>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7" w:hRule="atLeast"/>
        </w:trPr>
        <w:tc>
          <w:tcPr>
            <w:tcW w:w="4907" w:type="dxa"/>
            <w:gridSpan w:val="3"/>
          </w:tcPr>
          <w:p>
            <w:pPr>
              <w:pStyle w:val="10"/>
              <w:spacing w:before="3"/>
              <w:ind w:left="0"/>
              <w:jc w:val="left"/>
              <w:rPr>
                <w:rFonts w:ascii="黑体"/>
                <w:sz w:val="14"/>
              </w:rPr>
            </w:pPr>
          </w:p>
          <w:p>
            <w:pPr>
              <w:pStyle w:val="10"/>
              <w:spacing w:before="0"/>
              <w:ind w:left="56"/>
              <w:jc w:val="left"/>
              <w:rPr>
                <w:sz w:val="20"/>
              </w:rPr>
            </w:pPr>
            <w:r>
              <w:rPr>
                <w:sz w:val="20"/>
              </w:rPr>
              <w:t>四、结转下年度继续办理</w:t>
            </w:r>
          </w:p>
        </w:tc>
        <w:tc>
          <w:tcPr>
            <w:tcW w:w="684" w:type="dxa"/>
          </w:tcPr>
          <w:p>
            <w:pPr>
              <w:pStyle w:val="10"/>
              <w:spacing w:before="5"/>
              <w:ind w:left="0"/>
              <w:jc w:val="left"/>
              <w:rPr>
                <w:rFonts w:ascii="黑体"/>
                <w:sz w:val="14"/>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14"/>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14"/>
              </w:rPr>
            </w:pPr>
          </w:p>
          <w:p>
            <w:pPr>
              <w:pStyle w:val="10"/>
              <w:spacing w:before="0"/>
              <w:ind w:left="0" w:right="270"/>
              <w:jc w:val="right"/>
              <w:rPr>
                <w:rFonts w:ascii="Calibri"/>
                <w:sz w:val="20"/>
              </w:rPr>
            </w:pPr>
            <w:r>
              <w:rPr>
                <w:rFonts w:ascii="Calibri"/>
                <w:w w:val="99"/>
                <w:sz w:val="20"/>
              </w:rPr>
              <w:t>0</w:t>
            </w:r>
          </w:p>
        </w:tc>
        <w:tc>
          <w:tcPr>
            <w:tcW w:w="684" w:type="dxa"/>
          </w:tcPr>
          <w:p>
            <w:pPr>
              <w:pStyle w:val="10"/>
              <w:spacing w:before="5"/>
              <w:ind w:left="0"/>
              <w:jc w:val="left"/>
              <w:rPr>
                <w:rFonts w:ascii="黑体"/>
                <w:sz w:val="14"/>
              </w:rPr>
            </w:pPr>
          </w:p>
          <w:p>
            <w:pPr>
              <w:pStyle w:val="10"/>
              <w:spacing w:before="0"/>
              <w:rPr>
                <w:rFonts w:ascii="Calibri"/>
                <w:sz w:val="20"/>
              </w:rPr>
            </w:pPr>
            <w:r>
              <w:rPr>
                <w:rFonts w:ascii="Calibri"/>
                <w:w w:val="99"/>
                <w:sz w:val="20"/>
              </w:rPr>
              <w:t>0</w:t>
            </w:r>
          </w:p>
        </w:tc>
        <w:tc>
          <w:tcPr>
            <w:tcW w:w="684" w:type="dxa"/>
          </w:tcPr>
          <w:p>
            <w:pPr>
              <w:pStyle w:val="10"/>
              <w:spacing w:before="5"/>
              <w:ind w:left="0"/>
              <w:jc w:val="left"/>
              <w:rPr>
                <w:rFonts w:ascii="黑体"/>
                <w:sz w:val="14"/>
              </w:rPr>
            </w:pPr>
          </w:p>
          <w:p>
            <w:pPr>
              <w:pStyle w:val="10"/>
              <w:spacing w:before="0"/>
              <w:rPr>
                <w:rFonts w:ascii="Calibri"/>
                <w:sz w:val="20"/>
              </w:rPr>
            </w:pPr>
            <w:r>
              <w:rPr>
                <w:rFonts w:ascii="Calibri"/>
                <w:w w:val="99"/>
                <w:sz w:val="20"/>
              </w:rPr>
              <w:t>0</w:t>
            </w:r>
          </w:p>
        </w:tc>
        <w:tc>
          <w:tcPr>
            <w:tcW w:w="687" w:type="dxa"/>
          </w:tcPr>
          <w:p>
            <w:pPr>
              <w:pStyle w:val="10"/>
              <w:spacing w:before="5"/>
              <w:ind w:left="0"/>
              <w:jc w:val="left"/>
              <w:rPr>
                <w:rFonts w:ascii="黑体"/>
                <w:sz w:val="14"/>
              </w:rPr>
            </w:pPr>
          </w:p>
          <w:p>
            <w:pPr>
              <w:pStyle w:val="10"/>
              <w:spacing w:before="0"/>
              <w:ind w:left="19"/>
              <w:rPr>
                <w:rFonts w:ascii="Calibri"/>
                <w:sz w:val="20"/>
              </w:rPr>
            </w:pPr>
            <w:r>
              <w:rPr>
                <w:rFonts w:ascii="Calibri"/>
                <w:w w:val="99"/>
                <w:sz w:val="20"/>
              </w:rPr>
              <w:t>0</w:t>
            </w:r>
          </w:p>
        </w:tc>
        <w:tc>
          <w:tcPr>
            <w:tcW w:w="685" w:type="dxa"/>
          </w:tcPr>
          <w:p>
            <w:pPr>
              <w:pStyle w:val="10"/>
              <w:spacing w:before="5"/>
              <w:ind w:left="0"/>
              <w:jc w:val="left"/>
              <w:rPr>
                <w:rFonts w:ascii="黑体"/>
                <w:sz w:val="14"/>
              </w:rPr>
            </w:pPr>
          </w:p>
          <w:p>
            <w:pPr>
              <w:pStyle w:val="10"/>
              <w:spacing w:before="0"/>
              <w:ind w:left="19"/>
              <w:rPr>
                <w:rFonts w:ascii="Calibri"/>
                <w:sz w:val="20"/>
              </w:rPr>
            </w:pPr>
            <w:r>
              <w:rPr>
                <w:rFonts w:ascii="Calibri"/>
                <w:w w:val="99"/>
                <w:sz w:val="20"/>
              </w:rPr>
              <w:t>0</w:t>
            </w:r>
          </w:p>
        </w:tc>
      </w:tr>
    </w:tbl>
    <w:p>
      <w:pPr>
        <w:pStyle w:val="3"/>
        <w:spacing w:before="7"/>
        <w:rPr>
          <w:rFonts w:ascii="黑体"/>
          <w:sz w:val="8"/>
        </w:rPr>
      </w:pPr>
    </w:p>
    <w:p>
      <w:pPr>
        <w:pStyle w:val="3"/>
        <w:spacing w:before="54" w:after="27"/>
        <w:ind w:firstLine="640" w:firstLineChars="200"/>
        <w:rPr>
          <w:rFonts w:hint="eastAsia" w:ascii="黑体" w:eastAsia="黑体"/>
        </w:rPr>
      </w:pPr>
      <w:r>
        <w:rPr>
          <w:rFonts w:hint="eastAsia" w:ascii="黑体" w:eastAsia="黑体"/>
        </w:rPr>
        <w:t>四、政府信息公开行政复议、行政诉讼情况</w:t>
      </w:r>
    </w:p>
    <w:tbl>
      <w:tblPr>
        <w:tblStyle w:val="5"/>
        <w:tblW w:w="0" w:type="auto"/>
        <w:tblInd w:w="1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4"/>
        <w:gridCol w:w="644"/>
        <w:gridCol w:w="644"/>
        <w:gridCol w:w="644"/>
        <w:gridCol w:w="650"/>
        <w:gridCol w:w="643"/>
        <w:gridCol w:w="643"/>
        <w:gridCol w:w="644"/>
        <w:gridCol w:w="644"/>
        <w:gridCol w:w="650"/>
        <w:gridCol w:w="644"/>
        <w:gridCol w:w="644"/>
        <w:gridCol w:w="644"/>
        <w:gridCol w:w="644"/>
        <w:gridCol w:w="65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3226" w:type="dxa"/>
            <w:gridSpan w:val="5"/>
          </w:tcPr>
          <w:p>
            <w:pPr>
              <w:pStyle w:val="10"/>
              <w:spacing w:before="76"/>
              <w:ind w:left="1192" w:right="1174"/>
              <w:rPr>
                <w:sz w:val="20"/>
              </w:rPr>
            </w:pPr>
            <w:r>
              <w:rPr>
                <w:sz w:val="20"/>
              </w:rPr>
              <w:t>行政复议</w:t>
            </w:r>
          </w:p>
        </w:tc>
        <w:tc>
          <w:tcPr>
            <w:tcW w:w="6453" w:type="dxa"/>
            <w:gridSpan w:val="10"/>
          </w:tcPr>
          <w:p>
            <w:pPr>
              <w:pStyle w:val="10"/>
              <w:spacing w:before="76"/>
              <w:ind w:left="2804" w:right="2788"/>
              <w:rPr>
                <w:sz w:val="20"/>
              </w:rPr>
            </w:pPr>
            <w:r>
              <w:rPr>
                <w:sz w:val="20"/>
              </w:rPr>
              <w:t>行政诉讼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644" w:type="dxa"/>
            <w:vMerge w:val="restart"/>
          </w:tcPr>
          <w:p>
            <w:pPr>
              <w:pStyle w:val="10"/>
              <w:spacing w:before="4"/>
              <w:ind w:left="0"/>
              <w:jc w:val="left"/>
              <w:rPr>
                <w:rFonts w:ascii="黑体"/>
                <w:sz w:val="26"/>
              </w:rPr>
            </w:pPr>
          </w:p>
          <w:p>
            <w:pPr>
              <w:pStyle w:val="10"/>
              <w:spacing w:before="1" w:line="242" w:lineRule="auto"/>
              <w:ind w:left="120" w:right="103"/>
              <w:jc w:val="left"/>
              <w:rPr>
                <w:sz w:val="20"/>
              </w:rPr>
            </w:pPr>
            <w:r>
              <w:rPr>
                <w:sz w:val="20"/>
              </w:rPr>
              <w:t>结果维持</w:t>
            </w:r>
          </w:p>
        </w:tc>
        <w:tc>
          <w:tcPr>
            <w:tcW w:w="644" w:type="dxa"/>
            <w:vMerge w:val="restart"/>
          </w:tcPr>
          <w:p>
            <w:pPr>
              <w:pStyle w:val="10"/>
              <w:spacing w:before="4"/>
              <w:ind w:left="0"/>
              <w:jc w:val="left"/>
              <w:rPr>
                <w:rFonts w:ascii="黑体"/>
                <w:sz w:val="26"/>
              </w:rPr>
            </w:pPr>
          </w:p>
          <w:p>
            <w:pPr>
              <w:pStyle w:val="10"/>
              <w:spacing w:before="1" w:line="242" w:lineRule="auto"/>
              <w:ind w:left="122" w:right="101"/>
              <w:jc w:val="left"/>
              <w:rPr>
                <w:sz w:val="20"/>
              </w:rPr>
            </w:pPr>
            <w:r>
              <w:rPr>
                <w:sz w:val="20"/>
              </w:rPr>
              <w:t>结果纠正</w:t>
            </w:r>
          </w:p>
        </w:tc>
        <w:tc>
          <w:tcPr>
            <w:tcW w:w="644" w:type="dxa"/>
            <w:vMerge w:val="restart"/>
          </w:tcPr>
          <w:p>
            <w:pPr>
              <w:pStyle w:val="10"/>
              <w:spacing w:before="4"/>
              <w:ind w:left="0"/>
              <w:jc w:val="left"/>
              <w:rPr>
                <w:rFonts w:ascii="黑体"/>
                <w:sz w:val="26"/>
              </w:rPr>
            </w:pPr>
          </w:p>
          <w:p>
            <w:pPr>
              <w:pStyle w:val="10"/>
              <w:spacing w:before="1" w:line="242" w:lineRule="auto"/>
              <w:ind w:left="121" w:right="102"/>
              <w:jc w:val="left"/>
              <w:rPr>
                <w:sz w:val="20"/>
              </w:rPr>
            </w:pPr>
            <w:r>
              <w:rPr>
                <w:sz w:val="20"/>
              </w:rPr>
              <w:t>其他结果</w:t>
            </w:r>
          </w:p>
        </w:tc>
        <w:tc>
          <w:tcPr>
            <w:tcW w:w="644" w:type="dxa"/>
            <w:vMerge w:val="restart"/>
          </w:tcPr>
          <w:p>
            <w:pPr>
              <w:pStyle w:val="10"/>
              <w:spacing w:before="4"/>
              <w:ind w:left="0"/>
              <w:jc w:val="left"/>
              <w:rPr>
                <w:rFonts w:ascii="黑体"/>
                <w:sz w:val="26"/>
              </w:rPr>
            </w:pPr>
          </w:p>
          <w:p>
            <w:pPr>
              <w:pStyle w:val="10"/>
              <w:spacing w:before="1" w:line="242" w:lineRule="auto"/>
              <w:ind w:left="120" w:right="103"/>
              <w:jc w:val="left"/>
              <w:rPr>
                <w:sz w:val="20"/>
              </w:rPr>
            </w:pPr>
            <w:r>
              <w:rPr>
                <w:sz w:val="20"/>
              </w:rPr>
              <w:t>尚未审结</w:t>
            </w:r>
          </w:p>
        </w:tc>
        <w:tc>
          <w:tcPr>
            <w:tcW w:w="650" w:type="dxa"/>
            <w:vMerge w:val="restart"/>
          </w:tcPr>
          <w:p>
            <w:pPr>
              <w:pStyle w:val="10"/>
              <w:spacing w:before="0"/>
              <w:ind w:left="0"/>
              <w:jc w:val="left"/>
              <w:rPr>
                <w:rFonts w:ascii="黑体"/>
                <w:sz w:val="20"/>
              </w:rPr>
            </w:pPr>
          </w:p>
          <w:p>
            <w:pPr>
              <w:pStyle w:val="10"/>
              <w:spacing w:before="6"/>
              <w:ind w:left="0"/>
              <w:jc w:val="left"/>
              <w:rPr>
                <w:rFonts w:ascii="黑体"/>
                <w:sz w:val="16"/>
              </w:rPr>
            </w:pPr>
          </w:p>
          <w:p>
            <w:pPr>
              <w:pStyle w:val="10"/>
              <w:spacing w:before="0"/>
              <w:ind w:left="124"/>
              <w:jc w:val="left"/>
              <w:rPr>
                <w:sz w:val="20"/>
              </w:rPr>
            </w:pPr>
            <w:r>
              <w:rPr>
                <w:sz w:val="20"/>
              </w:rPr>
              <w:t>总计</w:t>
            </w:r>
          </w:p>
        </w:tc>
        <w:tc>
          <w:tcPr>
            <w:tcW w:w="3224" w:type="dxa"/>
            <w:gridSpan w:val="5"/>
          </w:tcPr>
          <w:p>
            <w:pPr>
              <w:pStyle w:val="10"/>
              <w:spacing w:before="76"/>
              <w:ind w:left="811"/>
              <w:jc w:val="left"/>
              <w:rPr>
                <w:sz w:val="20"/>
              </w:rPr>
            </w:pPr>
            <w:r>
              <w:rPr>
                <w:sz w:val="20"/>
              </w:rPr>
              <w:t>未经复议直接起诉</w:t>
            </w:r>
          </w:p>
        </w:tc>
        <w:tc>
          <w:tcPr>
            <w:tcW w:w="3229" w:type="dxa"/>
            <w:gridSpan w:val="5"/>
          </w:tcPr>
          <w:p>
            <w:pPr>
              <w:pStyle w:val="10"/>
              <w:spacing w:before="76"/>
              <w:ind w:left="1092" w:right="1077"/>
              <w:rPr>
                <w:sz w:val="20"/>
              </w:rPr>
            </w:pPr>
            <w:r>
              <w:rPr>
                <w:sz w:val="20"/>
              </w:rPr>
              <w:t>复议后起诉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0" w:hRule="atLeast"/>
        </w:trPr>
        <w:tc>
          <w:tcPr>
            <w:tcW w:w="644" w:type="dxa"/>
            <w:vMerge w:val="continue"/>
            <w:tcBorders>
              <w:top w:val="nil"/>
            </w:tcBorders>
          </w:tcPr>
          <w:p>
            <w:pPr>
              <w:rPr>
                <w:sz w:val="2"/>
                <w:szCs w:val="2"/>
              </w:rPr>
            </w:pPr>
          </w:p>
        </w:tc>
        <w:tc>
          <w:tcPr>
            <w:tcW w:w="644" w:type="dxa"/>
            <w:vMerge w:val="continue"/>
            <w:tcBorders>
              <w:top w:val="nil"/>
            </w:tcBorders>
          </w:tcPr>
          <w:p>
            <w:pPr>
              <w:rPr>
                <w:sz w:val="2"/>
                <w:szCs w:val="2"/>
              </w:rPr>
            </w:pPr>
          </w:p>
        </w:tc>
        <w:tc>
          <w:tcPr>
            <w:tcW w:w="644" w:type="dxa"/>
            <w:vMerge w:val="continue"/>
            <w:tcBorders>
              <w:top w:val="nil"/>
            </w:tcBorders>
          </w:tcPr>
          <w:p>
            <w:pPr>
              <w:rPr>
                <w:sz w:val="2"/>
                <w:szCs w:val="2"/>
              </w:rPr>
            </w:pPr>
          </w:p>
        </w:tc>
        <w:tc>
          <w:tcPr>
            <w:tcW w:w="644" w:type="dxa"/>
            <w:vMerge w:val="continue"/>
            <w:tcBorders>
              <w:top w:val="nil"/>
            </w:tcBorders>
          </w:tcPr>
          <w:p>
            <w:pPr>
              <w:rPr>
                <w:sz w:val="2"/>
                <w:szCs w:val="2"/>
              </w:rPr>
            </w:pPr>
          </w:p>
        </w:tc>
        <w:tc>
          <w:tcPr>
            <w:tcW w:w="650" w:type="dxa"/>
            <w:vMerge w:val="continue"/>
            <w:tcBorders>
              <w:top w:val="nil"/>
            </w:tcBorders>
          </w:tcPr>
          <w:p>
            <w:pPr>
              <w:rPr>
                <w:sz w:val="2"/>
                <w:szCs w:val="2"/>
              </w:rPr>
            </w:pPr>
          </w:p>
        </w:tc>
        <w:tc>
          <w:tcPr>
            <w:tcW w:w="643" w:type="dxa"/>
          </w:tcPr>
          <w:p>
            <w:pPr>
              <w:pStyle w:val="10"/>
              <w:spacing w:before="124" w:line="242" w:lineRule="auto"/>
              <w:ind w:left="120" w:right="102"/>
              <w:jc w:val="left"/>
              <w:rPr>
                <w:sz w:val="20"/>
              </w:rPr>
            </w:pPr>
            <w:r>
              <w:rPr>
                <w:sz w:val="20"/>
              </w:rPr>
              <w:t>结果维持</w:t>
            </w:r>
          </w:p>
        </w:tc>
        <w:tc>
          <w:tcPr>
            <w:tcW w:w="643" w:type="dxa"/>
          </w:tcPr>
          <w:p>
            <w:pPr>
              <w:pStyle w:val="10"/>
              <w:spacing w:before="124" w:line="242" w:lineRule="auto"/>
              <w:ind w:left="120" w:right="102"/>
              <w:jc w:val="left"/>
              <w:rPr>
                <w:sz w:val="20"/>
              </w:rPr>
            </w:pPr>
            <w:r>
              <w:rPr>
                <w:sz w:val="20"/>
              </w:rPr>
              <w:t>结果纠正</w:t>
            </w:r>
          </w:p>
        </w:tc>
        <w:tc>
          <w:tcPr>
            <w:tcW w:w="644" w:type="dxa"/>
          </w:tcPr>
          <w:p>
            <w:pPr>
              <w:pStyle w:val="10"/>
              <w:spacing w:before="124" w:line="242" w:lineRule="auto"/>
              <w:ind w:left="120" w:right="103"/>
              <w:jc w:val="left"/>
              <w:rPr>
                <w:sz w:val="20"/>
              </w:rPr>
            </w:pPr>
            <w:r>
              <w:rPr>
                <w:sz w:val="20"/>
              </w:rPr>
              <w:t>其他结果</w:t>
            </w:r>
          </w:p>
        </w:tc>
        <w:tc>
          <w:tcPr>
            <w:tcW w:w="644" w:type="dxa"/>
          </w:tcPr>
          <w:p>
            <w:pPr>
              <w:pStyle w:val="10"/>
              <w:spacing w:before="124" w:line="242" w:lineRule="auto"/>
              <w:ind w:left="122" w:right="101"/>
              <w:jc w:val="left"/>
              <w:rPr>
                <w:sz w:val="20"/>
              </w:rPr>
            </w:pPr>
            <w:r>
              <w:rPr>
                <w:sz w:val="20"/>
              </w:rPr>
              <w:t>尚未审结</w:t>
            </w:r>
          </w:p>
        </w:tc>
        <w:tc>
          <w:tcPr>
            <w:tcW w:w="650" w:type="dxa"/>
          </w:tcPr>
          <w:p>
            <w:pPr>
              <w:pStyle w:val="10"/>
              <w:spacing w:before="7"/>
              <w:ind w:left="0"/>
              <w:jc w:val="left"/>
              <w:rPr>
                <w:rFonts w:ascii="黑体"/>
                <w:sz w:val="19"/>
              </w:rPr>
            </w:pPr>
          </w:p>
          <w:p>
            <w:pPr>
              <w:pStyle w:val="10"/>
              <w:spacing w:before="0"/>
              <w:ind w:left="103" w:right="87"/>
              <w:rPr>
                <w:sz w:val="20"/>
              </w:rPr>
            </w:pPr>
            <w:r>
              <w:rPr>
                <w:sz w:val="20"/>
              </w:rPr>
              <w:t>总计</w:t>
            </w:r>
          </w:p>
        </w:tc>
        <w:tc>
          <w:tcPr>
            <w:tcW w:w="644" w:type="dxa"/>
          </w:tcPr>
          <w:p>
            <w:pPr>
              <w:pStyle w:val="10"/>
              <w:spacing w:before="124" w:line="242" w:lineRule="auto"/>
              <w:ind w:left="122" w:right="101"/>
              <w:jc w:val="left"/>
              <w:rPr>
                <w:sz w:val="20"/>
              </w:rPr>
            </w:pPr>
            <w:r>
              <w:rPr>
                <w:sz w:val="20"/>
              </w:rPr>
              <w:t>结果维持</w:t>
            </w:r>
          </w:p>
        </w:tc>
        <w:tc>
          <w:tcPr>
            <w:tcW w:w="644" w:type="dxa"/>
          </w:tcPr>
          <w:p>
            <w:pPr>
              <w:pStyle w:val="10"/>
              <w:spacing w:before="124" w:line="242" w:lineRule="auto"/>
              <w:ind w:left="121" w:right="102"/>
              <w:jc w:val="left"/>
              <w:rPr>
                <w:sz w:val="20"/>
              </w:rPr>
            </w:pPr>
            <w:r>
              <w:rPr>
                <w:sz w:val="20"/>
              </w:rPr>
              <w:t>结果纠正</w:t>
            </w:r>
          </w:p>
        </w:tc>
        <w:tc>
          <w:tcPr>
            <w:tcW w:w="644" w:type="dxa"/>
          </w:tcPr>
          <w:p>
            <w:pPr>
              <w:pStyle w:val="10"/>
              <w:spacing w:before="124" w:line="242" w:lineRule="auto"/>
              <w:ind w:left="120" w:right="103"/>
              <w:jc w:val="left"/>
              <w:rPr>
                <w:sz w:val="20"/>
              </w:rPr>
            </w:pPr>
            <w:r>
              <w:rPr>
                <w:sz w:val="20"/>
              </w:rPr>
              <w:t>其他结果</w:t>
            </w:r>
          </w:p>
        </w:tc>
        <w:tc>
          <w:tcPr>
            <w:tcW w:w="644" w:type="dxa"/>
          </w:tcPr>
          <w:p>
            <w:pPr>
              <w:pStyle w:val="10"/>
              <w:spacing w:before="124" w:line="242" w:lineRule="auto"/>
              <w:ind w:left="122" w:right="101"/>
              <w:jc w:val="left"/>
              <w:rPr>
                <w:sz w:val="20"/>
              </w:rPr>
            </w:pPr>
            <w:r>
              <w:rPr>
                <w:sz w:val="20"/>
              </w:rPr>
              <w:t>尚未审结</w:t>
            </w:r>
          </w:p>
        </w:tc>
        <w:tc>
          <w:tcPr>
            <w:tcW w:w="653" w:type="dxa"/>
          </w:tcPr>
          <w:p>
            <w:pPr>
              <w:pStyle w:val="10"/>
              <w:spacing w:before="7"/>
              <w:ind w:left="0"/>
              <w:jc w:val="left"/>
              <w:rPr>
                <w:rFonts w:ascii="黑体"/>
                <w:sz w:val="19"/>
              </w:rPr>
            </w:pPr>
          </w:p>
          <w:p>
            <w:pPr>
              <w:pStyle w:val="10"/>
              <w:spacing w:before="0"/>
              <w:ind w:left="105" w:right="88"/>
              <w:rPr>
                <w:sz w:val="20"/>
              </w:rPr>
            </w:pPr>
            <w:r>
              <w:rPr>
                <w:sz w:val="20"/>
              </w:rPr>
              <w:t>总计</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7" w:hRule="atLeast"/>
        </w:trPr>
        <w:tc>
          <w:tcPr>
            <w:tcW w:w="644" w:type="dxa"/>
          </w:tcPr>
          <w:p>
            <w:pPr>
              <w:pStyle w:val="10"/>
              <w:spacing w:before="0"/>
              <w:ind w:left="0"/>
              <w:jc w:val="left"/>
              <w:rPr>
                <w:rFonts w:ascii="黑体"/>
                <w:sz w:val="20"/>
              </w:rPr>
            </w:pPr>
          </w:p>
          <w:p>
            <w:pPr>
              <w:pStyle w:val="10"/>
              <w:spacing w:before="135"/>
              <w:ind w:left="16"/>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9"/>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6"/>
              <w:rPr>
                <w:rFonts w:ascii="Calibri"/>
                <w:sz w:val="20"/>
              </w:rPr>
            </w:pPr>
            <w:r>
              <w:rPr>
                <w:rFonts w:ascii="Calibri"/>
                <w:w w:val="99"/>
                <w:sz w:val="20"/>
              </w:rPr>
              <w:t>0</w:t>
            </w:r>
          </w:p>
        </w:tc>
        <w:tc>
          <w:tcPr>
            <w:tcW w:w="650" w:type="dxa"/>
          </w:tcPr>
          <w:p>
            <w:pPr>
              <w:pStyle w:val="10"/>
              <w:spacing w:before="0"/>
              <w:ind w:left="0"/>
              <w:jc w:val="left"/>
              <w:rPr>
                <w:rFonts w:ascii="黑体"/>
                <w:sz w:val="20"/>
              </w:rPr>
            </w:pPr>
          </w:p>
          <w:p>
            <w:pPr>
              <w:pStyle w:val="10"/>
              <w:spacing w:before="135"/>
              <w:ind w:left="18"/>
              <w:rPr>
                <w:rFonts w:ascii="Calibri"/>
                <w:sz w:val="20"/>
              </w:rPr>
            </w:pPr>
            <w:r>
              <w:rPr>
                <w:rFonts w:ascii="Calibri"/>
                <w:w w:val="99"/>
                <w:sz w:val="20"/>
              </w:rPr>
              <w:t>0</w:t>
            </w:r>
          </w:p>
        </w:tc>
        <w:tc>
          <w:tcPr>
            <w:tcW w:w="643" w:type="dxa"/>
          </w:tcPr>
          <w:p>
            <w:pPr>
              <w:pStyle w:val="10"/>
              <w:spacing w:before="0"/>
              <w:ind w:left="0"/>
              <w:jc w:val="left"/>
              <w:rPr>
                <w:rFonts w:ascii="黑体"/>
                <w:sz w:val="20"/>
              </w:rPr>
            </w:pPr>
          </w:p>
          <w:p>
            <w:pPr>
              <w:pStyle w:val="10"/>
              <w:spacing w:before="135"/>
              <w:ind w:left="21"/>
              <w:rPr>
                <w:rFonts w:ascii="Calibri"/>
                <w:sz w:val="20"/>
              </w:rPr>
            </w:pPr>
            <w:r>
              <w:rPr>
                <w:rFonts w:ascii="Calibri"/>
                <w:w w:val="99"/>
                <w:sz w:val="20"/>
              </w:rPr>
              <w:t>0</w:t>
            </w:r>
          </w:p>
        </w:tc>
        <w:tc>
          <w:tcPr>
            <w:tcW w:w="643" w:type="dxa"/>
          </w:tcPr>
          <w:p>
            <w:pPr>
              <w:pStyle w:val="10"/>
              <w:spacing w:before="0"/>
              <w:ind w:left="0"/>
              <w:jc w:val="left"/>
              <w:rPr>
                <w:rFonts w:ascii="黑体"/>
                <w:sz w:val="20"/>
              </w:rPr>
            </w:pPr>
          </w:p>
          <w:p>
            <w:pPr>
              <w:pStyle w:val="10"/>
              <w:spacing w:before="135"/>
              <w:ind w:left="16"/>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6"/>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9"/>
              <w:rPr>
                <w:rFonts w:ascii="Calibri"/>
                <w:sz w:val="20"/>
              </w:rPr>
            </w:pPr>
            <w:r>
              <w:rPr>
                <w:rFonts w:ascii="Calibri"/>
                <w:w w:val="99"/>
                <w:sz w:val="20"/>
              </w:rPr>
              <w:t>0</w:t>
            </w:r>
          </w:p>
        </w:tc>
        <w:tc>
          <w:tcPr>
            <w:tcW w:w="650" w:type="dxa"/>
          </w:tcPr>
          <w:p>
            <w:pPr>
              <w:pStyle w:val="10"/>
              <w:spacing w:before="0"/>
              <w:ind w:left="0"/>
              <w:jc w:val="left"/>
              <w:rPr>
                <w:rFonts w:ascii="黑体"/>
                <w:sz w:val="20"/>
              </w:rPr>
            </w:pPr>
          </w:p>
          <w:p>
            <w:pPr>
              <w:pStyle w:val="10"/>
              <w:spacing w:before="135"/>
              <w:ind w:left="16"/>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8"/>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6"/>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20"/>
              <w:rPr>
                <w:rFonts w:ascii="Calibri"/>
                <w:sz w:val="20"/>
              </w:rPr>
            </w:pPr>
            <w:r>
              <w:rPr>
                <w:rFonts w:ascii="Calibri"/>
                <w:w w:val="99"/>
                <w:sz w:val="20"/>
              </w:rPr>
              <w:t>0</w:t>
            </w:r>
          </w:p>
        </w:tc>
        <w:tc>
          <w:tcPr>
            <w:tcW w:w="644" w:type="dxa"/>
          </w:tcPr>
          <w:p>
            <w:pPr>
              <w:pStyle w:val="10"/>
              <w:spacing w:before="0"/>
              <w:ind w:left="0"/>
              <w:jc w:val="left"/>
              <w:rPr>
                <w:rFonts w:ascii="黑体"/>
                <w:sz w:val="20"/>
              </w:rPr>
            </w:pPr>
          </w:p>
          <w:p>
            <w:pPr>
              <w:pStyle w:val="10"/>
              <w:spacing w:before="135"/>
              <w:ind w:left="18"/>
              <w:rPr>
                <w:rFonts w:ascii="Calibri"/>
                <w:sz w:val="20"/>
              </w:rPr>
            </w:pPr>
            <w:r>
              <w:rPr>
                <w:rFonts w:ascii="Calibri"/>
                <w:w w:val="99"/>
                <w:sz w:val="20"/>
              </w:rPr>
              <w:t>0</w:t>
            </w:r>
          </w:p>
        </w:tc>
        <w:tc>
          <w:tcPr>
            <w:tcW w:w="653" w:type="dxa"/>
          </w:tcPr>
          <w:p>
            <w:pPr>
              <w:pStyle w:val="10"/>
              <w:spacing w:before="0"/>
              <w:ind w:left="0"/>
              <w:jc w:val="left"/>
              <w:rPr>
                <w:rFonts w:ascii="黑体"/>
                <w:sz w:val="20"/>
              </w:rPr>
            </w:pPr>
          </w:p>
          <w:p>
            <w:pPr>
              <w:pStyle w:val="10"/>
              <w:spacing w:before="135"/>
              <w:rPr>
                <w:rFonts w:ascii="Calibri"/>
                <w:sz w:val="20"/>
              </w:rPr>
            </w:pPr>
            <w:r>
              <w:rPr>
                <w:rFonts w:ascii="Calibri"/>
                <w:w w:val="99"/>
                <w:sz w:val="20"/>
              </w:rPr>
              <w:t>0</w:t>
            </w:r>
          </w:p>
        </w:tc>
      </w:tr>
    </w:tbl>
    <w:p>
      <w:pPr>
        <w:tabs>
          <w:tab w:val="left" w:pos="4410"/>
        </w:tabs>
        <w:spacing w:after="0"/>
        <w:rPr>
          <w:rFonts w:hint="eastAsia" w:ascii="Calibri"/>
          <w:sz w:val="20"/>
          <w:lang w:eastAsia="zh-CN"/>
        </w:rPr>
      </w:pPr>
    </w:p>
    <w:p>
      <w:pPr>
        <w:pStyle w:val="3"/>
        <w:spacing w:before="24"/>
        <w:ind w:left="986"/>
        <w:rPr>
          <w:rFonts w:hint="eastAsia" w:ascii="黑体" w:eastAsia="黑体"/>
        </w:rPr>
      </w:pPr>
      <w:r>
        <w:rPr>
          <w:rFonts w:hint="eastAsia" w:ascii="黑体" w:eastAsia="黑体"/>
        </w:rPr>
        <w:t>五、存在的主要问题及改进情况</w:t>
      </w:r>
    </w:p>
    <w:p>
      <w:pPr>
        <w:pStyle w:val="2"/>
        <w:spacing w:before="169"/>
        <w:ind w:left="888"/>
      </w:pPr>
      <w:r>
        <w:t>（一）工作中存在的主要问题和困难</w:t>
      </w:r>
    </w:p>
    <w:p>
      <w:pPr>
        <w:pStyle w:val="3"/>
        <w:spacing w:before="171" w:line="338" w:lineRule="auto"/>
        <w:ind w:left="566" w:right="573" w:firstLine="640"/>
        <w:jc w:val="both"/>
        <w:rPr>
          <w:color w:val="auto"/>
          <w:spacing w:val="-8"/>
          <w:w w:val="95"/>
        </w:rPr>
      </w:pPr>
      <w:r>
        <w:rPr>
          <w:color w:val="auto"/>
          <w:spacing w:val="-8"/>
          <w:w w:val="95"/>
        </w:rPr>
        <w:t>我街道信息公开工作平稳推进，但工作中仍</w:t>
      </w:r>
      <w:r>
        <w:rPr>
          <w:color w:val="auto"/>
          <w:spacing w:val="7"/>
          <w:w w:val="95"/>
        </w:rPr>
        <w:t>有一些</w:t>
      </w:r>
      <w:r>
        <w:rPr>
          <w:rFonts w:hint="eastAsia"/>
          <w:color w:val="auto"/>
          <w:spacing w:val="7"/>
          <w:w w:val="95"/>
          <w:lang w:eastAsia="zh-CN"/>
        </w:rPr>
        <w:t>亟须改进</w:t>
      </w:r>
      <w:r>
        <w:rPr>
          <w:color w:val="auto"/>
          <w:spacing w:val="7"/>
          <w:w w:val="95"/>
        </w:rPr>
        <w:t>和提高的方面：</w:t>
      </w:r>
      <w:r>
        <w:rPr>
          <w:rFonts w:hint="eastAsia"/>
          <w:b/>
          <w:bCs/>
          <w:color w:val="auto"/>
          <w:spacing w:val="-8"/>
          <w:w w:val="95"/>
        </w:rPr>
        <w:t>一是</w:t>
      </w:r>
      <w:r>
        <w:rPr>
          <w:rFonts w:hint="eastAsia"/>
          <w:color w:val="auto"/>
          <w:spacing w:val="-8"/>
          <w:w w:val="95"/>
          <w:lang w:eastAsia="zh-CN"/>
        </w:rPr>
        <w:t>信息更新不及时，部分栏目中的人员信息未同步最新变动调整</w:t>
      </w:r>
      <w:r>
        <w:rPr>
          <w:rFonts w:hint="eastAsia"/>
          <w:color w:val="auto"/>
          <w:spacing w:val="-8"/>
          <w:w w:val="95"/>
        </w:rPr>
        <w:t>；</w:t>
      </w:r>
      <w:r>
        <w:rPr>
          <w:rFonts w:hint="eastAsia"/>
          <w:b/>
          <w:bCs/>
          <w:color w:val="auto"/>
          <w:spacing w:val="-8"/>
          <w:w w:val="95"/>
        </w:rPr>
        <w:t>二是</w:t>
      </w:r>
      <w:r>
        <w:rPr>
          <w:rFonts w:hint="eastAsia"/>
          <w:color w:val="auto"/>
          <w:spacing w:val="-8"/>
          <w:w w:val="95"/>
          <w:lang w:eastAsia="zh-CN"/>
        </w:rPr>
        <w:t>政务公开工作人员对政务公开政策要求、内容规范等掌握不够全面，存在发布格式不够规范等问题</w:t>
      </w:r>
      <w:r>
        <w:rPr>
          <w:rFonts w:hint="eastAsia"/>
          <w:color w:val="auto"/>
          <w:spacing w:val="-8"/>
          <w:w w:val="95"/>
        </w:rPr>
        <w:t>。</w:t>
      </w:r>
    </w:p>
    <w:p>
      <w:pPr>
        <w:pStyle w:val="2"/>
        <w:spacing w:before="5"/>
        <w:ind w:left="888"/>
      </w:pPr>
      <w:r>
        <w:t>（二）</w:t>
      </w:r>
      <w:r>
        <w:rPr>
          <w:rFonts w:hint="eastAsia"/>
          <w:lang w:eastAsia="zh-CN"/>
        </w:rPr>
        <w:t>下一步</w:t>
      </w:r>
      <w:r>
        <w:t>改进情况</w:t>
      </w:r>
    </w:p>
    <w:p>
      <w:pPr>
        <w:pStyle w:val="3"/>
        <w:spacing w:before="171" w:line="338" w:lineRule="auto"/>
        <w:ind w:left="566" w:right="573" w:firstLine="640"/>
        <w:jc w:val="both"/>
        <w:rPr>
          <w:rFonts w:hint="eastAsia" w:eastAsia="仿宋_GB2312"/>
          <w:color w:val="0000FF"/>
          <w:spacing w:val="-8"/>
          <w:w w:val="95"/>
          <w:lang w:eastAsia="zh-CN"/>
        </w:rPr>
      </w:pPr>
      <w:r>
        <w:rPr>
          <w:rFonts w:hint="eastAsia"/>
          <w:color w:val="auto"/>
          <w:spacing w:val="-8"/>
          <w:w w:val="95"/>
        </w:rPr>
        <w:t>针对存在的不足和问题，我</w:t>
      </w:r>
      <w:r>
        <w:rPr>
          <w:rFonts w:hint="eastAsia"/>
          <w:color w:val="auto"/>
          <w:spacing w:val="-8"/>
          <w:w w:val="95"/>
          <w:lang w:eastAsia="zh-CN"/>
        </w:rPr>
        <w:t>街道</w:t>
      </w:r>
      <w:r>
        <w:rPr>
          <w:rFonts w:hint="eastAsia"/>
          <w:color w:val="auto"/>
          <w:spacing w:val="-8"/>
          <w:w w:val="95"/>
        </w:rPr>
        <w:t>将采取以下举措抓好政府信息公开工作</w:t>
      </w:r>
      <w:r>
        <w:rPr>
          <w:rFonts w:hint="eastAsia"/>
          <w:color w:val="auto"/>
          <w:spacing w:val="-8"/>
          <w:w w:val="95"/>
          <w:lang w:eastAsia="zh-CN"/>
        </w:rPr>
        <w:t>：</w:t>
      </w:r>
      <w:r>
        <w:rPr>
          <w:rFonts w:hint="eastAsia"/>
          <w:b/>
          <w:bCs/>
          <w:color w:val="auto"/>
          <w:spacing w:val="-8"/>
          <w:w w:val="95"/>
        </w:rPr>
        <w:t>一是</w:t>
      </w:r>
      <w:r>
        <w:rPr>
          <w:rFonts w:hint="eastAsia"/>
          <w:b/>
          <w:bCs/>
          <w:color w:val="auto"/>
          <w:spacing w:val="-8"/>
          <w:w w:val="95"/>
          <w:lang w:eastAsia="zh-CN"/>
        </w:rPr>
        <w:t>定期开展信息自查工作</w:t>
      </w:r>
      <w:r>
        <w:rPr>
          <w:rFonts w:hint="eastAsia"/>
          <w:b/>
          <w:bCs/>
          <w:color w:val="auto"/>
          <w:spacing w:val="-8"/>
          <w:w w:val="95"/>
        </w:rPr>
        <w:t>。</w:t>
      </w:r>
      <w:r>
        <w:rPr>
          <w:rFonts w:hint="eastAsia"/>
          <w:color w:val="auto"/>
          <w:spacing w:val="-8"/>
          <w:w w:val="95"/>
          <w:lang w:eastAsia="zh-CN"/>
        </w:rPr>
        <w:t>每季度对政府网站中本单位负责的栏目进行全面检查，及时发现和解决信息更新不及时、内容不准确的问题，确保内容“及时、准确、规范”</w:t>
      </w:r>
      <w:r>
        <w:rPr>
          <w:rFonts w:hint="eastAsia"/>
          <w:color w:val="auto"/>
          <w:spacing w:val="-8"/>
          <w:w w:val="95"/>
        </w:rPr>
        <w:t>。</w:t>
      </w:r>
      <w:r>
        <w:rPr>
          <w:rFonts w:hint="eastAsia"/>
          <w:b/>
          <w:bCs/>
          <w:color w:val="auto"/>
          <w:spacing w:val="-8"/>
          <w:w w:val="95"/>
        </w:rPr>
        <w:t>二是</w:t>
      </w:r>
      <w:r>
        <w:rPr>
          <w:rFonts w:hint="eastAsia"/>
          <w:b/>
          <w:bCs/>
          <w:color w:val="auto"/>
          <w:spacing w:val="-8"/>
          <w:w w:val="95"/>
          <w:lang w:eastAsia="zh-CN"/>
        </w:rPr>
        <w:t>提升工作人员业务能力</w:t>
      </w:r>
      <w:r>
        <w:rPr>
          <w:rFonts w:hint="eastAsia"/>
          <w:b/>
          <w:bCs/>
          <w:color w:val="auto"/>
          <w:spacing w:val="-8"/>
          <w:w w:val="95"/>
        </w:rPr>
        <w:t>。</w:t>
      </w:r>
      <w:r>
        <w:rPr>
          <w:rFonts w:ascii="仿宋_GB2312" w:hAnsi="宋体" w:eastAsia="仿宋_GB2312" w:cs="仿宋_GB2312"/>
          <w:i w:val="0"/>
          <w:caps w:val="0"/>
          <w:color w:val="auto"/>
          <w:spacing w:val="0"/>
          <w:sz w:val="31"/>
          <w:szCs w:val="31"/>
          <w:shd w:val="clear" w:fill="FFFFFF"/>
        </w:rPr>
        <w:t>加强政府信息公开工作人员的业务培训</w:t>
      </w:r>
      <w:r>
        <w:rPr>
          <w:rFonts w:hint="eastAsia" w:hAnsi="宋体" w:cs="仿宋_GB2312"/>
          <w:i w:val="0"/>
          <w:caps w:val="0"/>
          <w:color w:val="auto"/>
          <w:spacing w:val="0"/>
          <w:sz w:val="31"/>
          <w:szCs w:val="31"/>
          <w:shd w:val="clear" w:fill="FFFFFF"/>
          <w:lang w:eastAsia="zh-CN"/>
        </w:rPr>
        <w:t>，提升工作人员的专业素养和业务能力</w:t>
      </w:r>
      <w:r>
        <w:rPr>
          <w:rFonts w:hint="eastAsia"/>
          <w:color w:val="auto"/>
          <w:spacing w:val="-8"/>
          <w:w w:val="95"/>
        </w:rPr>
        <w:t>。</w:t>
      </w:r>
      <w:r>
        <w:rPr>
          <w:rFonts w:hint="eastAsia"/>
          <w:color w:val="auto"/>
          <w:spacing w:val="-8"/>
          <w:w w:val="95"/>
          <w:lang w:eastAsia="zh-CN"/>
        </w:rPr>
        <w:t>同时明确专人负责政务公开工作，确保各项工作有序推进。</w:t>
      </w:r>
      <w:r>
        <w:rPr>
          <w:rFonts w:hint="eastAsia"/>
          <w:b/>
          <w:bCs/>
          <w:color w:val="auto"/>
          <w:spacing w:val="-8"/>
          <w:w w:val="95"/>
        </w:rPr>
        <w:t>三是</w:t>
      </w:r>
      <w:r>
        <w:rPr>
          <w:rFonts w:hint="eastAsia"/>
          <w:b/>
          <w:bCs/>
          <w:color w:val="auto"/>
          <w:spacing w:val="-8"/>
          <w:w w:val="95"/>
          <w:lang w:eastAsia="zh-CN"/>
        </w:rPr>
        <w:t>优化政府信息公开内容</w:t>
      </w:r>
      <w:r>
        <w:rPr>
          <w:rFonts w:hint="eastAsia"/>
          <w:b/>
          <w:bCs/>
          <w:color w:val="auto"/>
          <w:spacing w:val="-8"/>
          <w:w w:val="95"/>
        </w:rPr>
        <w:t>。</w:t>
      </w:r>
      <w:r>
        <w:rPr>
          <w:rFonts w:hint="eastAsia" w:hAnsi="宋体" w:cs="仿宋_GB2312"/>
          <w:i w:val="0"/>
          <w:caps w:val="0"/>
          <w:color w:val="auto"/>
          <w:spacing w:val="0"/>
          <w:sz w:val="31"/>
          <w:szCs w:val="31"/>
          <w:shd w:val="clear" w:fill="FFFFFF"/>
          <w:lang w:eastAsia="zh-CN"/>
        </w:rPr>
        <w:t>主动梳理各领域应公开信息，确保主动公开内容充实、格式规范，严格做好拟公开信息审核，提升信息发布质量。</w:t>
      </w:r>
    </w:p>
    <w:p>
      <w:pPr>
        <w:pStyle w:val="3"/>
        <w:spacing w:before="9"/>
        <w:ind w:left="986"/>
        <w:rPr>
          <w:rFonts w:hint="eastAsia" w:ascii="黑体" w:eastAsia="黑体"/>
        </w:rPr>
      </w:pPr>
    </w:p>
    <w:p>
      <w:pPr>
        <w:pStyle w:val="3"/>
        <w:spacing w:before="9"/>
        <w:ind w:left="986"/>
        <w:rPr>
          <w:rFonts w:hint="eastAsia" w:ascii="黑体" w:eastAsia="黑体"/>
        </w:rPr>
      </w:pPr>
      <w:bookmarkStart w:id="0" w:name="_GoBack"/>
      <w:bookmarkEnd w:id="0"/>
      <w:r>
        <w:rPr>
          <w:rFonts w:hint="eastAsia" w:ascii="黑体" w:eastAsia="黑体"/>
        </w:rPr>
        <w:t>六、其他需要报告的事项</w:t>
      </w:r>
    </w:p>
    <w:p>
      <w:pPr>
        <w:pStyle w:val="3"/>
        <w:spacing w:before="171" w:line="338" w:lineRule="auto"/>
        <w:ind w:left="566" w:right="571" w:firstLine="640"/>
      </w:pPr>
      <w:r>
        <w:rPr>
          <w:spacing w:val="-10"/>
        </w:rPr>
        <w:t>收取信息处理情况：本年度无发出收费通知，无收取信息处理费用。</w:t>
      </w:r>
    </w:p>
    <w:p>
      <w:pPr>
        <w:pStyle w:val="3"/>
      </w:pPr>
    </w:p>
    <w:p>
      <w:pPr>
        <w:pStyle w:val="3"/>
      </w:pPr>
    </w:p>
    <w:p>
      <w:pPr>
        <w:pStyle w:val="3"/>
        <w:spacing w:before="8"/>
        <w:rPr>
          <w:sz w:val="26"/>
        </w:rPr>
      </w:pPr>
    </w:p>
    <w:p>
      <w:pPr>
        <w:pStyle w:val="3"/>
        <w:wordWrap w:val="0"/>
        <w:spacing w:before="1" w:line="340" w:lineRule="auto"/>
        <w:ind w:right="573"/>
        <w:jc w:val="right"/>
        <w:rPr>
          <w:rFonts w:hint="default" w:eastAsia="仿宋_GB2312"/>
          <w:spacing w:val="-3"/>
          <w:w w:val="95"/>
          <w:lang w:val="en-US" w:eastAsia="zh-CN"/>
        </w:rPr>
      </w:pPr>
      <w:r>
        <w:rPr>
          <w:spacing w:val="-3"/>
          <w:w w:val="95"/>
        </w:rPr>
        <w:t>凤城街道办事处</w:t>
      </w:r>
      <w:r>
        <w:rPr>
          <w:rFonts w:hint="eastAsia"/>
          <w:spacing w:val="-3"/>
          <w:w w:val="95"/>
          <w:lang w:val="en-US" w:eastAsia="zh-CN"/>
        </w:rPr>
        <w:t xml:space="preserve">  </w:t>
      </w:r>
    </w:p>
    <w:p>
      <w:pPr>
        <w:pStyle w:val="3"/>
        <w:wordWrap w:val="0"/>
        <w:spacing w:before="1" w:line="340" w:lineRule="auto"/>
        <w:ind w:left="6931" w:right="573" w:firstLine="240"/>
        <w:jc w:val="right"/>
        <w:rPr>
          <w:rFonts w:hint="default" w:ascii="仿宋_GB2312" w:hAnsi="仿宋_GB2312" w:eastAsia="仿宋_GB2312" w:cs="仿宋_GB2312"/>
          <w:sz w:val="32"/>
          <w:szCs w:val="32"/>
          <w:lang w:val="en-US"/>
        </w:rPr>
      </w:pPr>
      <w:r>
        <w:rPr>
          <w:rFonts w:hint="eastAsia"/>
          <w:spacing w:val="-3"/>
          <w:w w:val="95"/>
          <w:lang w:val="en-US" w:eastAsia="zh-CN"/>
        </w:rPr>
        <w:t xml:space="preserve">2026年1月21日   </w:t>
      </w:r>
    </w:p>
    <w:sectPr>
      <w:footerReference r:id="rId5" w:type="default"/>
      <w:pgSz w:w="11910" w:h="16840"/>
      <w:pgMar w:top="1520" w:right="900" w:bottom="1960" w:left="1020" w:header="0" w:footer="176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8" w:usb3="00000000" w:csb0="400001FF" w:csb1="FFFF0000"/>
  </w:font>
  <w:font w:name="宋体">
    <w:altName w:val="方正书宋_GBK"/>
    <w:panose1 w:val="02010600030101010101"/>
    <w:charset w:val="7A"/>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6177280</wp:posOffset>
              </wp:positionH>
              <wp:positionV relativeFrom="page">
                <wp:posOffset>9432290</wp:posOffset>
              </wp:positionV>
              <wp:extent cx="469900" cy="203835"/>
              <wp:effectExtent l="0" t="0" r="0" b="0"/>
              <wp:wrapNone/>
              <wp:docPr id="2" name="文本框 1"/>
              <wp:cNvGraphicFramePr/>
              <a:graphic xmlns:a="http://schemas.openxmlformats.org/drawingml/2006/main">
                <a:graphicData uri="http://schemas.microsoft.com/office/word/2010/wordprocessingShape">
                  <wps:wsp>
                    <wps:cNvSpPr txBox="1"/>
                    <wps:spPr>
                      <a:xfrm>
                        <a:off x="0" y="0"/>
                        <a:ext cx="469900" cy="203835"/>
                      </a:xfrm>
                      <a:prstGeom prst="rect">
                        <a:avLst/>
                      </a:prstGeom>
                      <a:noFill/>
                      <a:ln>
                        <a:noFill/>
                      </a:ln>
                    </wps:spPr>
                    <wps:txbx>
                      <w:txbxContent>
                        <w:p>
                          <w:pPr>
                            <w:spacing w:before="0" w:line="321" w:lineRule="exact"/>
                            <w:ind w:left="20" w:right="0" w:firstLine="0"/>
                            <w:jc w:val="left"/>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t>1</w:t>
                          </w:r>
                          <w:r>
                            <w:fldChar w:fldCharType="end"/>
                          </w:r>
                          <w:r>
                            <w:rPr>
                              <w:rFonts w:ascii="宋体"/>
                              <w:sz w:val="28"/>
                            </w:rPr>
                            <w:t xml:space="preserve"> -</w:t>
                          </w:r>
                        </w:p>
                      </w:txbxContent>
                    </wps:txbx>
                    <wps:bodyPr lIns="0" tIns="0" rIns="0" bIns="0" upright="1"/>
                  </wps:wsp>
                </a:graphicData>
              </a:graphic>
            </wp:anchor>
          </w:drawing>
        </mc:Choice>
        <mc:Fallback>
          <w:pict>
            <v:shape id="文本框 1" o:spid="_x0000_s1026" o:spt="202" type="#_x0000_t202" style="position:absolute;left:0pt;margin-left:486.4pt;margin-top:742.7pt;height:16.05pt;width:37pt;mso-position-horizontal-relative:page;mso-position-vertical-relative:page;z-index:-251657216;mso-width-relative:page;mso-height-relative:page;" filled="f" stroked="f" coordsize="21600,21600" o:gfxdata="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n2vAV9wAAAAOAQAADwAAAAAAAAABACAA&#10;AAA4AAAAZHJzL2Rvd25yZXYueG1sUEsBAhQAFAAAAAgAh07iQGKH4oO6AQAAcQMAAA4AAAAAAAAA&#10;AQAgAAAAQQEAAGRycy9lMm9Eb2MueG1sUEsFBgAAAAAGAAYAWQEAAG0FAAAAAA==&#10;">
              <v:fill on="f" focussize="0,0"/>
              <v:stroke on="f"/>
              <v:imagedata o:title=""/>
              <o:lock v:ext="edit" aspectratio="f"/>
              <v:textbox inset="0mm,0mm,0mm,0mm">
                <w:txbxContent>
                  <w:p>
                    <w:pPr>
                      <w:spacing w:before="0" w:line="321" w:lineRule="exact"/>
                      <w:ind w:left="20" w:right="0" w:firstLine="0"/>
                      <w:jc w:val="left"/>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t>1</w:t>
                    </w:r>
                    <w:r>
                      <w:fldChar w:fldCharType="end"/>
                    </w:r>
                    <w:r>
                      <w:rPr>
                        <w:rFonts w:ascii="宋体"/>
                        <w:sz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E85CF"/>
    <w:rsid w:val="11006EF0"/>
    <w:rsid w:val="1CD937B4"/>
    <w:rsid w:val="25AC35F9"/>
    <w:rsid w:val="3ADF15D8"/>
    <w:rsid w:val="403F2A7F"/>
    <w:rsid w:val="45F527FF"/>
    <w:rsid w:val="469E4D92"/>
    <w:rsid w:val="4A3444D7"/>
    <w:rsid w:val="4D221C48"/>
    <w:rsid w:val="4F9F2CC9"/>
    <w:rsid w:val="53690EC3"/>
    <w:rsid w:val="6A2242A8"/>
    <w:rsid w:val="73E814E9"/>
    <w:rsid w:val="767ECFCF"/>
    <w:rsid w:val="7D3B6FBE"/>
    <w:rsid w:val="7FFFA466"/>
    <w:rsid w:val="8F4F02E9"/>
    <w:rsid w:val="9FFBBDB0"/>
    <w:rsid w:val="B7DF92FD"/>
    <w:rsid w:val="CE6EDD13"/>
    <w:rsid w:val="EABFEABB"/>
    <w:rsid w:val="EF3BF009"/>
    <w:rsid w:val="EFFFE88B"/>
    <w:rsid w:val="FAFA9003"/>
    <w:rsid w:val="FFFF8A8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paragraph" w:styleId="2">
    <w:name w:val="heading 1"/>
    <w:basedOn w:val="1"/>
    <w:next w:val="1"/>
    <w:qFormat/>
    <w:uiPriority w:val="1"/>
    <w:pPr>
      <w:spacing w:before="171"/>
      <w:ind w:left="1207"/>
      <w:outlineLvl w:val="1"/>
    </w:pPr>
    <w:rPr>
      <w:rFonts w:ascii="楷体_GB2312" w:hAnsi="楷体_GB2312" w:eastAsia="楷体_GB2312" w:cs="楷体_GB2312"/>
      <w:b/>
      <w:bCs/>
      <w:sz w:val="32"/>
      <w:szCs w:val="32"/>
      <w:lang w:val="zh-CN" w:eastAsia="zh-CN" w:bidi="zh-CN"/>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_GB2312" w:hAnsi="仿宋_GB2312" w:eastAsia="仿宋_GB2312" w:cs="仿宋_GB2312"/>
      <w:sz w:val="32"/>
      <w:szCs w:val="32"/>
      <w:lang w:val="zh-CN" w:eastAsia="zh-CN" w:bidi="zh-C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Emphasis"/>
    <w:basedOn w:val="6"/>
    <w:qFormat/>
    <w:uiPriority w:val="0"/>
    <w:rPr>
      <w:i/>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zh-CN" w:eastAsia="zh-CN" w:bidi="zh-CN"/>
    </w:rPr>
  </w:style>
  <w:style w:type="paragraph" w:customStyle="1" w:styleId="10">
    <w:name w:val="Table Paragraph"/>
    <w:basedOn w:val="1"/>
    <w:qFormat/>
    <w:uiPriority w:val="1"/>
    <w:pPr>
      <w:spacing w:before="34"/>
      <w:ind w:left="17"/>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2479</Words>
  <Characters>2562</Characters>
  <TotalTime>73</TotalTime>
  <ScaleCrop>false</ScaleCrop>
  <LinksUpToDate>false</LinksUpToDate>
  <CharactersWithSpaces>2571</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2025-01-15T09:18:00Z</dcterms:created>
  <dc:creator>凤城街道党办</dc:creator>
  <cp:lastModifiedBy>huawei</cp:lastModifiedBy>
  <cp:lastPrinted>2026-01-22T16:13:43Z</cp:lastPrinted>
  <dcterms:modified xsi:type="dcterms:W3CDTF">2026-01-22T16:43:36Z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2024-01-16T00:00:00Z</vt:filetime>
  </property>
  <property fmtid="{D5CDD505-2E9C-101B-9397-08002B2CF9AE}" pid="3" name="Creator">
    <vt:lpwstr>WPS 文字</vt:lpwstr>
  </property>
  <property fmtid="{D5CDD505-2E9C-101B-9397-08002B2CF9AE}" pid="4" name="LastSaved">
    <vt:filetime>2025-01-14T00:00:00Z</vt:filetime>
  </property>
  <property fmtid="{D5CDD505-2E9C-101B-9397-08002B2CF9AE}" pid="5" name="KSOProductBuildVer">
    <vt:lpwstr>2052-11.8.2.12009</vt:lpwstr>
  </property>
  <property fmtid="{D5CDD505-2E9C-101B-9397-08002B2CF9AE}" pid="6" name="KSOTemplateDocerSaveRecord">
    <vt:lpwstr>eyJoZGlkIjoiNDFiMTk5OTE0OGEwMWY3OTdjNzhiMzYxYTU1ZDE1YmQiLCJ1c2VySWQiOiIxMzIxNzQ4MDU2In0=</vt:lpwstr>
  </property>
  <property fmtid="{D5CDD505-2E9C-101B-9397-08002B2CF9AE}" pid="7" name="ICV">
    <vt:lpwstr>254FE9055A94F3C254E96D69DE66AADF</vt:lpwstr>
  </property>
</Properties>
</file>