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560" w:lineRule="exact"/>
        <w:rPr>
          <w:rFonts w:ascii="黑体" w:hAnsi="黑体" w:eastAsia="黑体" w:cs="黑体"/>
          <w:sz w:val="32"/>
          <w:szCs w:val="32"/>
        </w:rPr>
      </w:pPr>
      <w:r>
        <w:rPr>
          <w:rFonts w:hint="eastAsia" w:ascii="黑体" w:hAnsi="黑体" w:eastAsia="黑体" w:cs="黑体"/>
          <w:sz w:val="32"/>
          <w:szCs w:val="32"/>
        </w:rPr>
        <w:t>附件4</w:t>
      </w:r>
    </w:p>
    <w:p>
      <w:pPr>
        <w:pStyle w:val="11"/>
        <w:widowControl w:val="0"/>
        <w:spacing w:line="560" w:lineRule="exact"/>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农村幸福院等级划分与评定</w:t>
      </w:r>
    </w:p>
    <w:p>
      <w:pPr>
        <w:pStyle w:val="11"/>
        <w:widowControl w:val="0"/>
        <w:spacing w:line="560" w:lineRule="exact"/>
        <w:ind w:firstLine="0" w:firstLineChars="0"/>
        <w:jc w:val="center"/>
      </w:pPr>
      <w:r>
        <w:rPr>
          <w:rFonts w:hint="eastAsia" w:ascii="仿宋_GB2312" w:hAnsi="仿宋_GB2312" w:eastAsia="仿宋_GB2312" w:cs="仿宋_GB2312"/>
          <w:sz w:val="32"/>
          <w:szCs w:val="32"/>
        </w:rPr>
        <w:t>（DB35/T1955-2020）</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范围</w:t>
      </w:r>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bookmarkStart w:id="0" w:name="_Toc17233326"/>
      <w:bookmarkStart w:id="1" w:name="_Toc24884212"/>
      <w:bookmarkStart w:id="2" w:name="_Toc26648466"/>
      <w:bookmarkStart w:id="3" w:name="_Toc24884219"/>
      <w:bookmarkStart w:id="4" w:name="_Toc17233334"/>
      <w:r>
        <w:rPr>
          <w:rFonts w:hint="eastAsia" w:ascii="仿宋_GB2312" w:hAnsi="仿宋_GB2312" w:eastAsia="仿宋_GB2312" w:cs="仿宋_GB2312"/>
          <w:sz w:val="28"/>
          <w:szCs w:val="28"/>
        </w:rPr>
        <w:t>本文件规定了农村幸福院的等级划分与标志、位置环境要求、管理工作要求、等级划分条件、等级评定与管理。</w:t>
      </w:r>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本文件适用于农村幸福院等级划分与评定工作。</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5" w:name="_Toc26986531"/>
      <w:bookmarkStart w:id="6" w:name="_Toc26718931"/>
      <w:bookmarkStart w:id="7" w:name="_Toc59118995"/>
      <w:bookmarkStart w:id="8" w:name="_Toc26986772"/>
      <w:r>
        <w:rPr>
          <w:rFonts w:hint="eastAsia"/>
          <w:sz w:val="28"/>
          <w:szCs w:val="28"/>
        </w:rPr>
        <w:t>规范性引用文件</w:t>
      </w:r>
      <w:bookmarkEnd w:id="0"/>
      <w:bookmarkEnd w:id="1"/>
      <w:bookmarkEnd w:id="2"/>
      <w:bookmarkEnd w:id="3"/>
      <w:bookmarkEnd w:id="4"/>
      <w:bookmarkEnd w:id="5"/>
      <w:bookmarkEnd w:id="6"/>
      <w:bookmarkEnd w:id="7"/>
      <w:bookmarkEnd w:id="8"/>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本文件没有规范性引用文件。</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9" w:name="_Toc59118996"/>
      <w:r>
        <w:rPr>
          <w:rFonts w:hint="eastAsia"/>
          <w:sz w:val="28"/>
          <w:szCs w:val="28"/>
        </w:rPr>
        <w:t>术语和定义</w:t>
      </w:r>
      <w:bookmarkEnd w:id="9"/>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bookmarkStart w:id="10" w:name="_Toc26986532"/>
      <w:bookmarkEnd w:id="10"/>
      <w:r>
        <w:rPr>
          <w:rFonts w:hint="eastAsia" w:ascii="仿宋_GB2312" w:hAnsi="仿宋_GB2312" w:eastAsia="仿宋_GB2312" w:cs="仿宋_GB2312"/>
          <w:sz w:val="28"/>
          <w:szCs w:val="28"/>
        </w:rPr>
        <w:t>下列术语和定义适用于本文件。</w:t>
      </w:r>
    </w:p>
    <w:p>
      <w:pPr>
        <w:pStyle w:val="10"/>
        <w:keepNext w:val="0"/>
        <w:keepLines w:val="0"/>
        <w:pageBreakBefore w:val="0"/>
        <w:widowControl w:val="0"/>
        <w:numPr>
          <w:ilvl w:val="2"/>
          <w:numId w:val="2"/>
        </w:numPr>
        <w:kinsoku/>
        <w:wordWrap/>
        <w:overflowPunct/>
        <w:topLinePunct w:val="0"/>
        <w:bidi w:val="0"/>
        <w:adjustRightInd/>
        <w:snapToGrid/>
        <w:spacing w:after="0" w:afterLines="0" w:line="480" w:lineRule="exact"/>
        <w:ind w:left="640" w:right="0" w:rightChars="0" w:hanging="640" w:hangingChars="200"/>
        <w:jc w:val="both"/>
        <w:textAlignment w:val="auto"/>
        <w:rPr>
          <w:rFonts w:ascii="黑体" w:hAnsi="黑体" w:eastAsia="黑体"/>
          <w:sz w:val="28"/>
          <w:szCs w:val="28"/>
        </w:rPr>
      </w:pPr>
      <w:bookmarkStart w:id="11" w:name="_Toc54342468"/>
      <w:r>
        <w:rPr>
          <w:rFonts w:hint="eastAsia" w:ascii="黑体" w:hAnsi="黑体" w:eastAsia="黑体"/>
          <w:sz w:val="28"/>
          <w:szCs w:val="28"/>
        </w:rPr>
        <w:t>农村幸福院  happy village home</w:t>
      </w:r>
      <w:bookmarkEnd w:id="11"/>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依托村民自治等方式，在建制村或农村社区，为农村老人提供就餐、日间照料、文化娱乐、精神慰藉、教育医疗等服务的互助式养老服务设施。</w:t>
      </w:r>
    </w:p>
    <w:p>
      <w:pPr>
        <w:pStyle w:val="10"/>
        <w:keepNext w:val="0"/>
        <w:keepLines w:val="0"/>
        <w:pageBreakBefore w:val="0"/>
        <w:widowControl w:val="0"/>
        <w:numPr>
          <w:ilvl w:val="2"/>
          <w:numId w:val="2"/>
        </w:numPr>
        <w:kinsoku/>
        <w:wordWrap/>
        <w:overflowPunct/>
        <w:topLinePunct w:val="0"/>
        <w:bidi w:val="0"/>
        <w:adjustRightInd/>
        <w:snapToGrid/>
        <w:spacing w:after="0" w:afterLines="0" w:line="480" w:lineRule="exact"/>
        <w:ind w:left="640" w:right="0" w:rightChars="0" w:hanging="640" w:hangingChars="200"/>
        <w:jc w:val="both"/>
        <w:textAlignment w:val="auto"/>
        <w:rPr>
          <w:rFonts w:ascii="黑体" w:hAnsi="黑体" w:eastAsia="黑体"/>
          <w:sz w:val="28"/>
          <w:szCs w:val="28"/>
        </w:rPr>
      </w:pPr>
      <w:bookmarkStart w:id="12" w:name="_Toc54342470"/>
      <w:r>
        <w:rPr>
          <w:rFonts w:hint="eastAsia" w:ascii="黑体" w:hAnsi="黑体" w:eastAsia="黑体"/>
          <w:sz w:val="28"/>
          <w:szCs w:val="28"/>
        </w:rPr>
        <w:t>休息位  lounge</w:t>
      </w:r>
      <w:bookmarkEnd w:id="12"/>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休息用的座位，有坐具、卧具或坐卧一体的座具。</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13" w:name="_Toc48645536"/>
      <w:bookmarkStart w:id="14" w:name="_Toc48553965"/>
      <w:bookmarkStart w:id="15" w:name="_Toc59118997"/>
      <w:bookmarkStart w:id="16" w:name="_Toc54342553"/>
      <w:bookmarkStart w:id="17" w:name="_Toc54336981"/>
      <w:bookmarkStart w:id="18" w:name="_Toc54342471"/>
      <w:r>
        <w:rPr>
          <w:rFonts w:hint="eastAsia"/>
          <w:sz w:val="28"/>
          <w:szCs w:val="28"/>
        </w:rPr>
        <w:t>等级划分与标志</w:t>
      </w:r>
      <w:bookmarkEnd w:id="13"/>
      <w:bookmarkEnd w:id="14"/>
      <w:bookmarkEnd w:id="15"/>
      <w:bookmarkEnd w:id="16"/>
      <w:bookmarkEnd w:id="17"/>
      <w:bookmarkEnd w:id="18"/>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19" w:name="_Toc54342472"/>
      <w:bookmarkStart w:id="20" w:name="_Toc48645537"/>
      <w:bookmarkStart w:id="21" w:name="_Toc54336982"/>
      <w:bookmarkStart w:id="22" w:name="_Toc48553966"/>
      <w:r>
        <w:rPr>
          <w:rFonts w:hint="eastAsia"/>
          <w:sz w:val="28"/>
          <w:szCs w:val="28"/>
        </w:rPr>
        <w:t>等级划分</w:t>
      </w:r>
      <w:bookmarkEnd w:id="19"/>
      <w:bookmarkEnd w:id="20"/>
      <w:bookmarkEnd w:id="21"/>
      <w:bookmarkEnd w:id="22"/>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农村幸福院的评定分为三个等级，从低到高依次为三星级、四星级、五星级。级数越高，表示农村幸福院的综合服务能力越强。</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农村幸福院等级评定采用计分制。农村幸福院等级评定评分细则应符合附录A的规定，总分为100分。五星级农村幸福院评定得分不低于90分，四星级农村幸福院评定得分不低于80分，三星级农村幸福院评定得分不低于70分。</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23" w:name="_Toc48645538"/>
      <w:bookmarkStart w:id="24" w:name="_Toc48553967"/>
      <w:bookmarkStart w:id="25" w:name="_Toc54342473"/>
      <w:bookmarkStart w:id="26" w:name="_Toc54336983"/>
      <w:r>
        <w:rPr>
          <w:rFonts w:hint="eastAsia"/>
          <w:sz w:val="28"/>
          <w:szCs w:val="28"/>
        </w:rPr>
        <w:t>等级标志</w:t>
      </w:r>
      <w:bookmarkEnd w:id="23"/>
      <w:bookmarkEnd w:id="24"/>
      <w:bookmarkEnd w:id="25"/>
      <w:bookmarkEnd w:id="26"/>
    </w:p>
    <w:p>
      <w:pPr>
        <w:pStyle w:val="11"/>
        <w:keepNext w:val="0"/>
        <w:keepLines w:val="0"/>
        <w:pageBreakBefore w:val="0"/>
        <w:widowControl w:val="0"/>
        <w:kinsoku/>
        <w:wordWrap/>
        <w:overflowPunct/>
        <w:topLinePunct w:val="0"/>
        <w:bidi w:val="0"/>
        <w:adjustRightInd/>
        <w:snapToGrid/>
        <w:spacing w:line="480" w:lineRule="exact"/>
        <w:ind w:right="0" w:rightChars="0"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等级标志由红色五角星图案构成，用三颗五角星表示三星级，四颗五角星表示四星级，五颗五角星表示五星级。</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27" w:name="_Toc54342554"/>
      <w:bookmarkStart w:id="28" w:name="_Toc59118998"/>
      <w:bookmarkStart w:id="29" w:name="_Toc54336984"/>
      <w:bookmarkStart w:id="30" w:name="_Toc48645539"/>
      <w:bookmarkStart w:id="31" w:name="_Toc48553968"/>
      <w:bookmarkStart w:id="32" w:name="_Toc54342474"/>
      <w:r>
        <w:rPr>
          <w:rFonts w:hint="eastAsia"/>
          <w:sz w:val="28"/>
          <w:szCs w:val="28"/>
        </w:rPr>
        <w:t>位置环境要求</w:t>
      </w:r>
      <w:bookmarkEnd w:id="27"/>
      <w:bookmarkEnd w:id="28"/>
      <w:bookmarkEnd w:id="29"/>
      <w:bookmarkEnd w:id="30"/>
      <w:bookmarkEnd w:id="31"/>
      <w:bookmarkEnd w:id="32"/>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33" w:name="_Toc54342475"/>
      <w:bookmarkStart w:id="34" w:name="_Toc48645540"/>
      <w:bookmarkStart w:id="35" w:name="_Toc54336985"/>
      <w:bookmarkStart w:id="36" w:name="_Toc48553969"/>
      <w:r>
        <w:rPr>
          <w:rFonts w:hint="eastAsia"/>
          <w:sz w:val="28"/>
          <w:szCs w:val="28"/>
        </w:rPr>
        <w:t>地理位置</w:t>
      </w:r>
      <w:bookmarkEnd w:id="33"/>
      <w:bookmarkEnd w:id="34"/>
      <w:bookmarkEnd w:id="35"/>
      <w:bookmarkEnd w:id="36"/>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避开大型交叉路口，远离高噪源、污染源及危险品生产储运区。</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避开自然灾害易发区，综合考虑防火、防震等因素。</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37" w:name="_Toc54342476"/>
      <w:bookmarkStart w:id="38" w:name="_Toc48645541"/>
      <w:bookmarkStart w:id="39" w:name="_Toc54336986"/>
      <w:bookmarkStart w:id="40" w:name="_Toc48553970"/>
      <w:r>
        <w:rPr>
          <w:rFonts w:hint="eastAsia"/>
          <w:sz w:val="28"/>
          <w:szCs w:val="28"/>
        </w:rPr>
        <w:t>周边环境</w:t>
      </w:r>
      <w:bookmarkEnd w:id="37"/>
      <w:bookmarkEnd w:id="38"/>
      <w:bookmarkEnd w:id="39"/>
      <w:bookmarkEnd w:id="40"/>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与医疗卫生、文化等农村公共服务设施统筹布局。</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位于农村中心村或老年人日常集中活动点等老年人相对集中区。</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交通便捷、地形平坦、阳光充足、通风良好、工程和水文条件较好。</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41" w:name="_Toc54336987"/>
      <w:bookmarkStart w:id="42" w:name="_Toc54342477"/>
      <w:bookmarkStart w:id="43" w:name="_Toc48553971"/>
      <w:bookmarkStart w:id="44" w:name="_Toc48645542"/>
      <w:r>
        <w:rPr>
          <w:rFonts w:hint="eastAsia"/>
          <w:sz w:val="28"/>
          <w:szCs w:val="28"/>
        </w:rPr>
        <w:t>公共环境</w:t>
      </w:r>
      <w:bookmarkEnd w:id="41"/>
      <w:bookmarkEnd w:id="42"/>
      <w:bookmarkEnd w:id="43"/>
      <w:bookmarkEnd w:id="44"/>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室内场所明亮，空间无异味，室外场所实现硬化、绿化、美化。</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窗户有纱窗或其他防蚊蝇措施，地面整洁、干燥，物品摆放合理。</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公共区域有明显标示。</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45" w:name="_Toc54342555"/>
      <w:bookmarkStart w:id="46" w:name="_Toc59118999"/>
      <w:bookmarkStart w:id="47" w:name="_Toc54336988"/>
      <w:bookmarkStart w:id="48" w:name="_Toc48645543"/>
      <w:bookmarkStart w:id="49" w:name="_Toc48553972"/>
      <w:bookmarkStart w:id="50" w:name="_Toc54342478"/>
      <w:r>
        <w:rPr>
          <w:rFonts w:hint="eastAsia"/>
          <w:sz w:val="28"/>
          <w:szCs w:val="28"/>
        </w:rPr>
        <w:t>管理工作要求</w:t>
      </w:r>
      <w:bookmarkEnd w:id="45"/>
      <w:bookmarkEnd w:id="46"/>
      <w:bookmarkEnd w:id="47"/>
      <w:bookmarkEnd w:id="48"/>
      <w:bookmarkEnd w:id="49"/>
      <w:bookmarkEnd w:id="50"/>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51" w:name="_Toc54342479"/>
      <w:bookmarkStart w:id="52" w:name="_Toc48645544"/>
      <w:bookmarkStart w:id="53" w:name="_Toc54336989"/>
      <w:bookmarkStart w:id="54" w:name="_Toc48553973"/>
      <w:r>
        <w:rPr>
          <w:rFonts w:hint="eastAsia"/>
          <w:sz w:val="28"/>
          <w:szCs w:val="28"/>
        </w:rPr>
        <w:t>管理制度</w:t>
      </w:r>
      <w:bookmarkEnd w:id="51"/>
      <w:bookmarkEnd w:id="52"/>
      <w:bookmarkEnd w:id="53"/>
      <w:bookmarkEnd w:id="54"/>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建立服务人员管理制度并执行，有公布管理人员联系方式。</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建立财务管理制度并执行，主动接受监督，按时公布经费物资收支情况。</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建立卫生管理制度并执行。</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建立档案管理制度并执行，有活动记录和活动老人花名册。</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建立设施设备使用管理制度并执行，明确功能设施设备使用要求。</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55" w:name="_Toc54342480"/>
      <w:bookmarkStart w:id="56" w:name="_Toc48645545"/>
      <w:bookmarkStart w:id="57" w:name="_Toc54336990"/>
      <w:bookmarkStart w:id="58" w:name="_Toc48553974"/>
      <w:r>
        <w:rPr>
          <w:rFonts w:hint="eastAsia"/>
          <w:sz w:val="28"/>
          <w:szCs w:val="28"/>
        </w:rPr>
        <w:t>安全管理</w:t>
      </w:r>
      <w:bookmarkEnd w:id="55"/>
      <w:bookmarkEnd w:id="56"/>
      <w:bookmarkEnd w:id="57"/>
      <w:bookmarkEnd w:id="58"/>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一年内应无责任事故发生（不符合此项要求，则自动终止星级评定程序）。</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建立安全管理制度并执行。</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有开展防火、用电、食品、卫生等安全检查。</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有意外伤害、突发疾病、和火灾的应急预案并组织演练。</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有开展安全防护知识培训及应急疏散演练。</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59" w:name="_Toc54342481"/>
      <w:bookmarkStart w:id="60" w:name="_Toc54336991"/>
      <w:bookmarkStart w:id="61" w:name="_Toc48645546"/>
      <w:bookmarkStart w:id="62" w:name="_Toc48553975"/>
      <w:r>
        <w:rPr>
          <w:rFonts w:hint="eastAsia"/>
          <w:sz w:val="28"/>
          <w:szCs w:val="28"/>
        </w:rPr>
        <w:t>安全设施</w:t>
      </w:r>
      <w:bookmarkEnd w:id="59"/>
      <w:bookmarkEnd w:id="60"/>
      <w:bookmarkEnd w:id="61"/>
      <w:bookmarkEnd w:id="62"/>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多层建筑有防跌落设施。</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主要出入口、坡道、卫生间、台阶、过道作无障碍处理，加装扶手。</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配齐消防设施设备，确保完好有效。</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卫生间配备应急报警器，门锁能双向开启。</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设施设备牢固稳定，无尖角、锐边、毛刺。</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63" w:name="_Toc48553976"/>
      <w:bookmarkStart w:id="64" w:name="_Toc48645547"/>
      <w:bookmarkStart w:id="65" w:name="_Toc54336992"/>
      <w:bookmarkStart w:id="66" w:name="_Toc59119000"/>
      <w:bookmarkStart w:id="67" w:name="_Toc54342482"/>
      <w:bookmarkStart w:id="68" w:name="_Toc54342556"/>
      <w:r>
        <w:rPr>
          <w:rFonts w:hint="eastAsia"/>
          <w:sz w:val="28"/>
          <w:szCs w:val="28"/>
        </w:rPr>
        <w:t>等级划分条件</w:t>
      </w:r>
      <w:bookmarkEnd w:id="63"/>
      <w:bookmarkEnd w:id="64"/>
      <w:bookmarkEnd w:id="65"/>
      <w:bookmarkEnd w:id="66"/>
      <w:bookmarkEnd w:id="67"/>
      <w:bookmarkEnd w:id="68"/>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69" w:name="_Toc48553977"/>
      <w:bookmarkStart w:id="70" w:name="_Toc48645548"/>
      <w:bookmarkStart w:id="71" w:name="_Toc54336993"/>
      <w:bookmarkStart w:id="72" w:name="_Toc54342483"/>
      <w:r>
        <w:rPr>
          <w:rFonts w:hint="eastAsia"/>
          <w:sz w:val="28"/>
          <w:szCs w:val="28"/>
        </w:rPr>
        <w:t>五星级农村幸福院</w:t>
      </w:r>
      <w:bookmarkEnd w:id="69"/>
      <w:bookmarkEnd w:id="70"/>
      <w:bookmarkEnd w:id="71"/>
      <w:bookmarkEnd w:id="72"/>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建筑结构和设施</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建筑面积不宜小于300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内设医疗机构（卫生所）或签约医疗机构，直线距离不宜大于200m。</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配置综合活动室，使用面积不宜小于80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配置独立休息室，使用面积不宜小于50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 xml:space="preserve"> 独</w:t>
      </w:r>
      <w:r>
        <w:rPr>
          <w:rFonts w:hint="eastAsia" w:ascii="仿宋_GB2312" w:hAnsi="仿宋_GB2312" w:eastAsia="仿宋_GB2312" w:cs="仿宋_GB2312"/>
          <w:spacing w:val="-17"/>
          <w:sz w:val="28"/>
          <w:szCs w:val="28"/>
        </w:rPr>
        <w:t>立设置备餐间、就餐间，总使用面积不宜小于50</w:t>
      </w:r>
      <w:r>
        <w:rPr>
          <w:rFonts w:hint="eastAsia" w:hAnsi="宋体" w:cs="宋体"/>
          <w:spacing w:val="-17"/>
          <w:sz w:val="28"/>
          <w:szCs w:val="28"/>
        </w:rPr>
        <w:t>㎡</w:t>
      </w:r>
      <w:r>
        <w:rPr>
          <w:rFonts w:hint="eastAsia" w:ascii="仿宋_GB2312" w:hAnsi="仿宋_GB2312" w:eastAsia="仿宋_GB2312" w:cs="仿宋_GB2312"/>
          <w:spacing w:val="-17"/>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有室外活动场所，面积不宜小于120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独立设置文化活动室，单间使用面积不宜小于10</w:t>
      </w:r>
      <w:r>
        <w:rPr>
          <w:rFonts w:hint="eastAsia" w:hAnsi="宋体" w:cs="宋体"/>
          <w:sz w:val="28"/>
          <w:szCs w:val="28"/>
        </w:rPr>
        <w:t>㎡</w:t>
      </w:r>
      <w:r>
        <w:rPr>
          <w:rFonts w:hint="eastAsia" w:ascii="仿宋_GB2312" w:hAnsi="仿宋_GB2312" w:eastAsia="仿宋_GB2312" w:cs="仿宋_GB2312"/>
          <w:sz w:val="28"/>
          <w:szCs w:val="28"/>
        </w:rPr>
        <w:t>，间数不宜少于3间，可以是书画室、阅读室、电脑室、手工制作室、音像室等。</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配备与空间相匹配的空调。</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运营质量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年度实际运营不宜少于250d，每日开放时间不宜少于6h。</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年度运营经费不宜少于2万元。</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管理服务人员不宜少于2人，其中专职助老员不宜少于1人，社区（村）党支部有专人负责运营管理工作。</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设立党员互助小组。</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长期志愿服务人员不宜少于5人，年度开展大型志愿服务活动不宜少于6次。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提供午餐和晚餐，可保障20人同时用餐，所提供饮食符合老年人健康、营养需求。</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开展助老服务，每周不宜少于2次。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开展老年教育与咨询服务，每年举办知识讲座不宜少于4次。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开展巡诊体检服务，每月不宜少于2次。</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文娱健身服务质量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棋牌桌不宜少于4张，棋牌（扑克、象棋、麻将）不宜少于8副。</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pacing w:val="-34"/>
          <w:sz w:val="28"/>
          <w:szCs w:val="28"/>
        </w:rPr>
        <w:t xml:space="preserve"> </w:t>
      </w:r>
      <w:r>
        <w:rPr>
          <w:rFonts w:hint="eastAsia" w:ascii="仿宋_GB2312" w:hAnsi="仿宋_GB2312" w:eastAsia="仿宋_GB2312" w:cs="仿宋_GB2312"/>
          <w:sz w:val="28"/>
          <w:szCs w:val="28"/>
        </w:rPr>
        <w:t>配</w:t>
      </w:r>
      <w:r>
        <w:rPr>
          <w:rFonts w:hint="eastAsia" w:ascii="仿宋_GB2312" w:hAnsi="仿宋_GB2312" w:eastAsia="仿宋_GB2312" w:cs="仿宋_GB2312"/>
          <w:spacing w:val="-17"/>
          <w:sz w:val="28"/>
          <w:szCs w:val="28"/>
        </w:rPr>
        <w:t>备彩色电视机和网络接收系统，尺寸不宜小于55in。</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6"/>
          <w:sz w:val="28"/>
          <w:szCs w:val="28"/>
        </w:rPr>
      </w:pPr>
      <w:r>
        <w:rPr>
          <w:rFonts w:hint="eastAsia" w:ascii="仿宋_GB2312" w:hAnsi="仿宋_GB2312" w:eastAsia="仿宋_GB2312" w:cs="仿宋_GB2312"/>
          <w:sz w:val="28"/>
          <w:szCs w:val="28"/>
        </w:rPr>
        <w:t>配备智力和精细动作训练辅具，种类不宜少于4类，</w:t>
      </w:r>
      <w:r>
        <w:rPr>
          <w:rFonts w:hint="eastAsia" w:ascii="仿宋_GB2312" w:hAnsi="仿宋_GB2312" w:eastAsia="仿宋_GB2312" w:cs="仿宋_GB2312"/>
          <w:spacing w:val="-6"/>
          <w:sz w:val="28"/>
          <w:szCs w:val="28"/>
        </w:rPr>
        <w:t>可以是积木、组合玩具、穿珠辅具、计数辅具、握力器等。</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配备电脑不宜少于2台，老年书籍杂志不宜少于150册，报纸不宜少于2种。</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配备光纤网络和无线wifi。</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配备助视、固定辅具，可以是助视仪、阅读器、书固定夹等。</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配备书法、绘画用品，手工制作用品用具。</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活动场所有休憩的椅凳。</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配备老年健身、保健器材，种类不宜少于3类，可以是</w:t>
      </w:r>
      <w:r>
        <w:rPr>
          <w:rFonts w:hint="eastAsia" w:ascii="仿宋_GB2312" w:hAnsi="仿宋_GB2312" w:eastAsia="仿宋_GB2312" w:cs="仿宋_GB2312"/>
          <w:spacing w:val="-17"/>
          <w:sz w:val="28"/>
          <w:szCs w:val="28"/>
        </w:rPr>
        <w:t>乒乓球桌、台球桌、功率自行车、柔性踏步器、按摩椅等。</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生活服务质量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休息位不宜少于10张（套）。</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备餐间地面作防滑处理。</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1"/>
          <w:sz w:val="28"/>
          <w:szCs w:val="28"/>
        </w:rPr>
      </w:pPr>
      <w:r>
        <w:rPr>
          <w:rFonts w:hint="eastAsia" w:ascii="仿宋_GB2312" w:hAnsi="仿宋_GB2312" w:eastAsia="仿宋_GB2312" w:cs="仿宋_GB2312"/>
          <w:sz w:val="28"/>
          <w:szCs w:val="28"/>
        </w:rPr>
        <w:t>配备操作台、</w:t>
      </w:r>
      <w:r>
        <w:rPr>
          <w:rFonts w:hint="eastAsia" w:ascii="仿宋_GB2312" w:hAnsi="仿宋_GB2312" w:eastAsia="仿宋_GB2312" w:cs="仿宋_GB2312"/>
          <w:spacing w:val="-11"/>
          <w:sz w:val="28"/>
          <w:szCs w:val="28"/>
        </w:rPr>
        <w:t>洗涤池、安全灶具，排风、排烟设备。</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配备冷藏设备、留样柜、饮水供应设备。</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配备消毒柜、碗柜、餐具，有洗碗池、厨余垃圾收集用具。</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分别设置男女卫生间。</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卫生间配备排气扇，设置便器、洗手盆，蹲式厕位配坐便椅。</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卫生间有安全扶手，配备墙面镜、卫生纸、托架、污物桶等用品。</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配备框式助行器、四脚拐不宜少于2副，配备拐杖不宜少于2副。</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73" w:name="_Toc54342484"/>
      <w:bookmarkStart w:id="74" w:name="_Toc48553978"/>
      <w:bookmarkStart w:id="75" w:name="_Toc54336994"/>
      <w:bookmarkStart w:id="76" w:name="_Toc48645549"/>
      <w:r>
        <w:rPr>
          <w:rFonts w:hint="eastAsia"/>
          <w:sz w:val="28"/>
          <w:szCs w:val="28"/>
        </w:rPr>
        <w:t>四星级农村幸福院</w:t>
      </w:r>
      <w:bookmarkEnd w:id="73"/>
      <w:bookmarkEnd w:id="74"/>
      <w:bookmarkEnd w:id="75"/>
      <w:bookmarkEnd w:id="76"/>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建筑结构和设施</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建筑面积不宜小于200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pacing w:val="-11"/>
          <w:sz w:val="28"/>
          <w:szCs w:val="28"/>
        </w:rPr>
        <w:t xml:space="preserve"> </w:t>
      </w:r>
      <w:r>
        <w:rPr>
          <w:rFonts w:hint="eastAsia" w:ascii="仿宋_GB2312" w:hAnsi="仿宋_GB2312" w:eastAsia="仿宋_GB2312" w:cs="仿宋_GB2312"/>
          <w:sz w:val="28"/>
          <w:szCs w:val="28"/>
        </w:rPr>
        <w:t>内</w:t>
      </w:r>
      <w:r>
        <w:rPr>
          <w:rFonts w:hint="eastAsia" w:ascii="仿宋_GB2312" w:hAnsi="仿宋_GB2312" w:eastAsia="仿宋_GB2312" w:cs="仿宋_GB2312"/>
          <w:spacing w:val="-6"/>
          <w:sz w:val="28"/>
          <w:szCs w:val="28"/>
        </w:rPr>
        <w:t>设</w:t>
      </w:r>
      <w:r>
        <w:rPr>
          <w:rFonts w:hint="eastAsia" w:ascii="仿宋_GB2312" w:hAnsi="仿宋_GB2312" w:eastAsia="仿宋_GB2312" w:cs="仿宋_GB2312"/>
          <w:spacing w:val="-17"/>
          <w:sz w:val="28"/>
          <w:szCs w:val="28"/>
        </w:rPr>
        <w:t>医疗室或签约医疗机构，直线距离不宜大于500m。</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配置综合活动室，使用面积不宜小于40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配置独立休息室，使用面积不宜小于25</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20"/>
          <w:sz w:val="28"/>
          <w:szCs w:val="28"/>
        </w:rPr>
      </w:pPr>
      <w:r>
        <w:rPr>
          <w:rFonts w:hint="eastAsia" w:ascii="仿宋_GB2312" w:hAnsi="仿宋_GB2312" w:eastAsia="仿宋_GB2312" w:cs="仿宋_GB2312"/>
          <w:sz w:val="28"/>
          <w:szCs w:val="28"/>
        </w:rPr>
        <w:t xml:space="preserve"> 有</w:t>
      </w:r>
      <w:r>
        <w:rPr>
          <w:rFonts w:hint="eastAsia" w:ascii="仿宋_GB2312" w:hAnsi="仿宋_GB2312" w:eastAsia="仿宋_GB2312" w:cs="仿宋_GB2312"/>
          <w:spacing w:val="-20"/>
          <w:sz w:val="28"/>
          <w:szCs w:val="28"/>
        </w:rPr>
        <w:t>就餐区，独立设置备餐间，使用面积不宜小于25</w:t>
      </w:r>
      <w:r>
        <w:rPr>
          <w:rFonts w:hint="eastAsia" w:hAnsi="宋体" w:cs="宋体"/>
          <w:spacing w:val="-20"/>
          <w:sz w:val="28"/>
          <w:szCs w:val="28"/>
        </w:rPr>
        <w:t>㎡</w:t>
      </w:r>
      <w:r>
        <w:rPr>
          <w:rFonts w:hint="eastAsia" w:ascii="仿宋_GB2312" w:hAnsi="仿宋_GB2312" w:eastAsia="仿宋_GB2312" w:cs="仿宋_GB2312"/>
          <w:spacing w:val="-20"/>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有室外活动场所，面积不宜小于80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独立设置文化活动室，使用面积不宜小于10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配备风扇或其它温度控制设备。</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运营质量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年度实际运营不宜少于220d，每日开放时间不宜少于5h。</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年度运营经费不宜少于1万元。</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配备专职助老员，社区（村）党支部有专人负责运营管理工作。 </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设立党员互助小组。</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有长期志愿服务人员，年度开展大型志愿服务活动不宜少于3次。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提供午餐，可保障10人同时用餐，所提供饮食符合老年人健康、营养需求。</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开展助老服务，每周不宜少于1次。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开展老年教育与咨询服务，每年举办知识讲座不宜少于2次。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开展巡诊体检服务，每月不宜少于1次。</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文娱健身服务质量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棋牌桌不宜少于2张，棋牌（扑克、象棋、麻将）不宜少于4副。</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 xml:space="preserve"> 配</w:t>
      </w:r>
      <w:r>
        <w:rPr>
          <w:rFonts w:hint="eastAsia" w:ascii="仿宋_GB2312" w:hAnsi="仿宋_GB2312" w:eastAsia="仿宋_GB2312" w:cs="仿宋_GB2312"/>
          <w:spacing w:val="-17"/>
          <w:sz w:val="28"/>
          <w:szCs w:val="28"/>
        </w:rPr>
        <w:t>备彩色电视机和网络接收系统，尺寸不宜小于42in。</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配备智力和精细动作训练辅具，可以是积木、穿珠辅具、计数辅具等。</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配备电脑，老年书籍杂志不宜少于50册。</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配备光纤网络和无线wifi。</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配备书法、绘画用品，手工制作用品用具。</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活动场所有休憩的椅凳。</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配备老年健身、保健器材，可以是台球桌、功率自行车等。</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生活服务质量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休息位不宜少于5张（套）。</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备餐间地面作防滑处理。</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 xml:space="preserve"> 配</w:t>
      </w:r>
      <w:r>
        <w:rPr>
          <w:rFonts w:hint="eastAsia" w:ascii="仿宋_GB2312" w:hAnsi="仿宋_GB2312" w:eastAsia="仿宋_GB2312" w:cs="仿宋_GB2312"/>
          <w:spacing w:val="-17"/>
          <w:sz w:val="28"/>
          <w:szCs w:val="28"/>
        </w:rPr>
        <w:t>备操作台、洗涤池、安全灶具，排风、排烟设备。</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配备冷藏设备、留样柜、饮水供应设备。</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配备消毒柜、碗柜、餐具，有洗碗池、厨余垃圾收集用具。</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设置卫生间。</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卫生间配备排气扇，设置便器、洗手盆，蹲式厕位配坐便椅。</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卫生间有安全扶手，配备墙面镜、卫生纸、托架、污物桶等用品。</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配备拐杖等助行辅具。</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77" w:name="_Toc48553979"/>
      <w:bookmarkStart w:id="78" w:name="_Toc54342485"/>
      <w:bookmarkStart w:id="79" w:name="_Toc54336995"/>
      <w:bookmarkStart w:id="80" w:name="_Toc48645550"/>
      <w:r>
        <w:rPr>
          <w:rFonts w:hint="eastAsia"/>
          <w:sz w:val="28"/>
          <w:szCs w:val="28"/>
        </w:rPr>
        <w:t>三星级农村幸福院</w:t>
      </w:r>
      <w:bookmarkEnd w:id="77"/>
      <w:bookmarkEnd w:id="78"/>
      <w:bookmarkEnd w:id="79"/>
      <w:bookmarkEnd w:id="80"/>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建筑结构和设施</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建筑面积不宜小于100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 xml:space="preserve"> 配</w:t>
      </w:r>
      <w:r>
        <w:rPr>
          <w:rFonts w:hint="eastAsia" w:ascii="仿宋_GB2312" w:hAnsi="仿宋_GB2312" w:eastAsia="仿宋_GB2312" w:cs="仿宋_GB2312"/>
          <w:spacing w:val="-17"/>
          <w:sz w:val="28"/>
          <w:szCs w:val="28"/>
        </w:rPr>
        <w:t>置医疗室或签约医疗机构，直线距离不宜大于800m。</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配置综合活动室，使用面积不宜小于40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配置独立休息室，使用面积不宜小于15</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有</w:t>
      </w:r>
      <w:r>
        <w:rPr>
          <w:rFonts w:hint="eastAsia" w:ascii="仿宋_GB2312" w:hAnsi="仿宋_GB2312" w:eastAsia="仿宋_GB2312" w:cs="仿宋_GB2312"/>
          <w:spacing w:val="-17"/>
          <w:sz w:val="28"/>
          <w:szCs w:val="28"/>
        </w:rPr>
        <w:t>就餐区，独立设置备餐间，使用面积不宜小于25</w:t>
      </w:r>
      <w:r>
        <w:rPr>
          <w:rFonts w:hint="eastAsia" w:hAnsi="宋体" w:cs="宋体"/>
          <w:spacing w:val="-17"/>
          <w:sz w:val="28"/>
          <w:szCs w:val="28"/>
        </w:rPr>
        <w:t>㎡</w:t>
      </w:r>
      <w:r>
        <w:rPr>
          <w:rFonts w:hint="eastAsia" w:ascii="仿宋_GB2312" w:hAnsi="仿宋_GB2312" w:eastAsia="仿宋_GB2312" w:cs="仿宋_GB2312"/>
          <w:spacing w:val="-17"/>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有室外活动场所，面积不宜小于50</w:t>
      </w:r>
      <w:r>
        <w:rPr>
          <w:rFonts w:hint="eastAsia" w:hAnsi="宋体" w:cs="宋体"/>
          <w:sz w:val="28"/>
          <w:szCs w:val="28"/>
        </w:rPr>
        <w:t>㎡</w:t>
      </w:r>
      <w:r>
        <w:rPr>
          <w:rFonts w:hint="eastAsia" w:ascii="仿宋_GB2312" w:hAnsi="仿宋_GB2312" w:eastAsia="仿宋_GB2312" w:cs="仿宋_GB2312"/>
          <w:sz w:val="28"/>
          <w:szCs w:val="28"/>
        </w:rPr>
        <w:t>。</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配备风扇或其它温度控制设备。</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运营质量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6"/>
          <w:sz w:val="28"/>
          <w:szCs w:val="28"/>
        </w:rPr>
      </w:pPr>
      <w:r>
        <w:rPr>
          <w:rFonts w:hint="eastAsia" w:ascii="仿宋_GB2312" w:hAnsi="仿宋_GB2312" w:eastAsia="仿宋_GB2312" w:cs="仿宋_GB2312"/>
          <w:sz w:val="28"/>
          <w:szCs w:val="28"/>
        </w:rPr>
        <w:t>年度</w:t>
      </w:r>
      <w:r>
        <w:rPr>
          <w:rFonts w:hint="eastAsia" w:ascii="仿宋_GB2312" w:hAnsi="仿宋_GB2312" w:eastAsia="仿宋_GB2312" w:cs="仿宋_GB2312"/>
          <w:spacing w:val="-6"/>
          <w:sz w:val="28"/>
          <w:szCs w:val="28"/>
        </w:rPr>
        <w:t>实际运营不宜少于200 d，每日开放时间不宜少于4h。</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年度运营经费不宜少于0.5万元。</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6"/>
          <w:sz w:val="28"/>
          <w:szCs w:val="28"/>
        </w:rPr>
      </w:pPr>
      <w:r>
        <w:rPr>
          <w:rFonts w:hint="eastAsia" w:ascii="仿宋_GB2312" w:hAnsi="仿宋_GB2312" w:eastAsia="仿宋_GB2312" w:cs="仿宋_GB2312"/>
          <w:sz w:val="28"/>
          <w:szCs w:val="28"/>
        </w:rPr>
        <w:t>配备</w:t>
      </w:r>
      <w:r>
        <w:rPr>
          <w:rFonts w:hint="eastAsia" w:ascii="仿宋_GB2312" w:hAnsi="仿宋_GB2312" w:eastAsia="仿宋_GB2312" w:cs="仿宋_GB2312"/>
          <w:spacing w:val="-6"/>
          <w:sz w:val="28"/>
          <w:szCs w:val="28"/>
        </w:rPr>
        <w:t xml:space="preserve">专职助老员，社区（村）党支部有专人负责运营管理工作。 </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设立党员互助小组。</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有长期志愿服务人员，年度开展大型志愿服务活动不宜少于3次。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提供午餐，可保障10人同时用餐，所提供饮食符合老年人健康、营养需求。</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开展助老服务，每周不宜少于1次。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开展老年教育与咨询服务，每年举办知识讲座不宜少于1次。</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开展巡诊体检服务，每季度不宜少于1次。</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文娱健身服务质量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棋牌桌不宜少于2张，棋牌（扑克、象棋、麻将）不宜少于4副。</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配</w:t>
      </w:r>
      <w:r>
        <w:rPr>
          <w:rFonts w:hint="eastAsia" w:ascii="仿宋_GB2312" w:hAnsi="仿宋_GB2312" w:eastAsia="仿宋_GB2312" w:cs="仿宋_GB2312"/>
          <w:spacing w:val="-17"/>
          <w:sz w:val="28"/>
          <w:szCs w:val="28"/>
        </w:rPr>
        <w:t>备彩色电视机和网络接收系统，尺寸不宜小于42in。</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配备智力和精细动作训练辅具，可以是积木、穿珠辅具、计数辅具等。</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配备电脑，老年书籍杂志不宜少于50册。</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配备光纤网络和无线wifi。</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活动场所有休憩的椅凳。</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配备老年健身、保健器材，可以是台球桌、功率自行车等。</w:t>
      </w:r>
    </w:p>
    <w:p>
      <w:pPr>
        <w:pStyle w:val="16"/>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r>
        <w:rPr>
          <w:rFonts w:hint="eastAsia"/>
          <w:sz w:val="28"/>
          <w:szCs w:val="28"/>
        </w:rPr>
        <w:t>生活服务质量</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休息位不宜少于3张（套）。</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备餐间地面作防滑处理。</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配</w:t>
      </w:r>
      <w:r>
        <w:rPr>
          <w:rFonts w:hint="eastAsia" w:ascii="仿宋_GB2312" w:hAnsi="仿宋_GB2312" w:eastAsia="仿宋_GB2312" w:cs="仿宋_GB2312"/>
          <w:spacing w:val="-17"/>
          <w:sz w:val="28"/>
          <w:szCs w:val="28"/>
        </w:rPr>
        <w:t>备操作台、洗涤池、安全灶具，排风、排烟设备。</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设置卫生间。</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卫生间配备排气扇，设置便器、洗手盆，蹲式厕位配坐便椅。</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卫生间有安全扶手，配备墙面镜、卫生纸、托架、污物桶等用品。</w:t>
      </w:r>
    </w:p>
    <w:p>
      <w:pPr>
        <w:pStyle w:val="17"/>
        <w:keepNext w:val="0"/>
        <w:keepLines w:val="0"/>
        <w:pageBreakBefore w:val="0"/>
        <w:widowControl w:val="0"/>
        <w:numPr>
          <w:ilvl w:val="4"/>
          <w:numId w:val="2"/>
        </w:numPr>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配备拐杖等助行辅具。</w:t>
      </w:r>
    </w:p>
    <w:p>
      <w:pPr>
        <w:pStyle w:val="14"/>
        <w:keepNext w:val="0"/>
        <w:keepLines w:val="0"/>
        <w:pageBreakBefore w:val="0"/>
        <w:widowControl w:val="0"/>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81" w:name="_Toc59119001"/>
      <w:bookmarkStart w:id="82" w:name="_Toc54342557"/>
      <w:bookmarkStart w:id="83" w:name="_Toc54342486"/>
      <w:bookmarkStart w:id="84" w:name="_Toc54336996"/>
      <w:bookmarkStart w:id="85" w:name="_Toc48645551"/>
      <w:bookmarkStart w:id="86" w:name="_Toc48553980"/>
      <w:r>
        <w:rPr>
          <w:rFonts w:hint="eastAsia"/>
          <w:sz w:val="28"/>
          <w:szCs w:val="28"/>
        </w:rPr>
        <w:t>等级评定与管理</w:t>
      </w:r>
      <w:bookmarkEnd w:id="81"/>
      <w:bookmarkEnd w:id="82"/>
      <w:bookmarkEnd w:id="83"/>
      <w:bookmarkEnd w:id="84"/>
      <w:bookmarkEnd w:id="85"/>
      <w:bookmarkEnd w:id="86"/>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87" w:name="_Toc48553981"/>
      <w:bookmarkStart w:id="88" w:name="_Toc54336997"/>
      <w:bookmarkStart w:id="89" w:name="_Toc48645552"/>
      <w:bookmarkStart w:id="90" w:name="_Toc54342487"/>
      <w:r>
        <w:rPr>
          <w:rFonts w:hint="eastAsia"/>
          <w:sz w:val="28"/>
          <w:szCs w:val="28"/>
        </w:rPr>
        <w:t>评定组织</w:t>
      </w:r>
      <w:bookmarkEnd w:id="87"/>
      <w:bookmarkEnd w:id="88"/>
      <w:bookmarkEnd w:id="89"/>
      <w:bookmarkEnd w:id="90"/>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农村幸福院等级评定按照“逐级审核、分级评定”的原则组织实施。</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省级民政部门负责全省农村幸福院等级评定的组织实施，负责五星级农村幸福院的审核评定。</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设区</w:t>
      </w:r>
      <w:r>
        <w:rPr>
          <w:rFonts w:hint="eastAsia" w:ascii="仿宋_GB2312" w:hAnsi="仿宋_GB2312" w:eastAsia="仿宋_GB2312" w:cs="仿宋_GB2312"/>
          <w:spacing w:val="-17"/>
          <w:sz w:val="28"/>
          <w:szCs w:val="28"/>
        </w:rPr>
        <w:t>市民政部门负责四星级农村幸福院的审核评定。</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县（市、区）民政部门负责三星级农村幸福院的审核评定。</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等级评定工作每年组织一次。</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91" w:name="_Toc48553982"/>
      <w:bookmarkStart w:id="92" w:name="_Toc54342488"/>
      <w:bookmarkStart w:id="93" w:name="_Toc54336998"/>
      <w:bookmarkStart w:id="94" w:name="_Toc48645553"/>
      <w:r>
        <w:rPr>
          <w:rFonts w:hint="eastAsia"/>
          <w:sz w:val="28"/>
          <w:szCs w:val="28"/>
        </w:rPr>
        <w:t>评定</w:t>
      </w:r>
      <w:bookmarkEnd w:id="91"/>
      <w:bookmarkEnd w:id="92"/>
      <w:bookmarkEnd w:id="93"/>
      <w:bookmarkEnd w:id="94"/>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农村幸福院运营一年后，达到相应等级条件者方可参加等级评定。已获得等级的农村幸福院，在评定满一年后方可申请更高等级。</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符合等级申请条件的幸福院，三星级由乡镇（街道）向县、四星级由县向市、五星级由市向省逐级提出申请，受理申请的民政部门应按照本标准明确的等级划分条件对其进行资格审查。</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对申报材料符合条件的，民政部门等级考评组负责审查相关资料，按照附录A进行现场评审，并提出评定结果。</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评定结果应在具有相应评定权限的民政部门网站予以公示。</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pacing w:val="-17"/>
          <w:sz w:val="28"/>
          <w:szCs w:val="28"/>
        </w:rPr>
      </w:pPr>
      <w:r>
        <w:rPr>
          <w:rFonts w:hint="eastAsia" w:ascii="仿宋_GB2312" w:hAnsi="仿宋_GB2312" w:eastAsia="仿宋_GB2312" w:cs="仿宋_GB2312"/>
          <w:sz w:val="28"/>
          <w:szCs w:val="28"/>
        </w:rPr>
        <w:t>四星级农村幸福院评定结果应报省级民政部门备</w:t>
      </w:r>
      <w:r>
        <w:rPr>
          <w:rFonts w:hint="eastAsia" w:ascii="仿宋_GB2312" w:hAnsi="仿宋_GB2312" w:eastAsia="仿宋_GB2312" w:cs="仿宋_GB2312"/>
          <w:spacing w:val="-17"/>
          <w:sz w:val="28"/>
          <w:szCs w:val="28"/>
        </w:rPr>
        <w:t>案；三星级农村幸福院评定结果应分别报市级、省级民政部门备案。</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95" w:name="_Toc54342489"/>
      <w:bookmarkStart w:id="96" w:name="_Toc54336999"/>
      <w:bookmarkStart w:id="97" w:name="_Toc48645554"/>
      <w:bookmarkStart w:id="98" w:name="_Toc48553983"/>
      <w:r>
        <w:rPr>
          <w:rFonts w:hint="eastAsia"/>
          <w:sz w:val="28"/>
          <w:szCs w:val="28"/>
        </w:rPr>
        <w:t>复查与处理</w:t>
      </w:r>
      <w:bookmarkEnd w:id="95"/>
      <w:bookmarkEnd w:id="96"/>
      <w:bookmarkEnd w:id="97"/>
      <w:bookmarkEnd w:id="98"/>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星级有效期五年，五年期满后应进行重新评定。</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授予星级的农村幸福院，如发生责任事故，所属星级将被立即取消，由评定单位收回相应的星级标牌，2年内不得申报等级评定。</w:t>
      </w:r>
    </w:p>
    <w:p>
      <w:pPr>
        <w:pStyle w:val="13"/>
        <w:keepNext w:val="0"/>
        <w:keepLines w:val="0"/>
        <w:pageBreakBefore w:val="0"/>
        <w:widowControl w:val="0"/>
        <w:numPr>
          <w:ilvl w:val="2"/>
          <w:numId w:val="2"/>
        </w:numPr>
        <w:kinsoku/>
        <w:wordWrap/>
        <w:overflowPunct/>
        <w:topLinePunct w:val="0"/>
        <w:bidi w:val="0"/>
        <w:adjustRightInd/>
        <w:snapToGrid/>
        <w:spacing w:before="0" w:beforeLines="0" w:after="0" w:afterLines="0" w:line="480" w:lineRule="exact"/>
        <w:ind w:right="0" w:rightChars="0"/>
        <w:jc w:val="both"/>
        <w:textAlignment w:val="auto"/>
        <w:rPr>
          <w:sz w:val="28"/>
          <w:szCs w:val="28"/>
        </w:rPr>
      </w:pPr>
      <w:bookmarkStart w:id="99" w:name="_Toc54337000"/>
      <w:bookmarkStart w:id="100" w:name="_Toc48645555"/>
      <w:bookmarkStart w:id="101" w:name="_Toc48553984"/>
      <w:bookmarkStart w:id="102" w:name="_Toc54342490"/>
      <w:r>
        <w:rPr>
          <w:rFonts w:hint="eastAsia"/>
          <w:sz w:val="28"/>
          <w:szCs w:val="28"/>
        </w:rPr>
        <w:t>标志管理</w:t>
      </w:r>
      <w:bookmarkEnd w:id="99"/>
      <w:bookmarkEnd w:id="100"/>
      <w:bookmarkEnd w:id="101"/>
      <w:bookmarkEnd w:id="102"/>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等级标志按评定批准权限，分别由省、市、县级民政部门制发和管理。</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农村幸福院等级标牌应置于显著位置。</w:t>
      </w:r>
    </w:p>
    <w:p>
      <w:pPr>
        <w:pStyle w:val="15"/>
        <w:keepNext w:val="0"/>
        <w:keepLines w:val="0"/>
        <w:pageBreakBefore w:val="0"/>
        <w:widowControl w:val="0"/>
        <w:kinsoku/>
        <w:wordWrap/>
        <w:overflowPunct/>
        <w:topLinePunct w:val="0"/>
        <w:bidi w:val="0"/>
        <w:adjustRightInd/>
        <w:snapToGrid/>
        <w:spacing w:after="0" w:afterLines="0" w:line="480" w:lineRule="exact"/>
        <w:ind w:right="0" w:right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提升或取消等级的农村幸福院，应立即将原等级标牌交回发放单位。</w:t>
      </w:r>
    </w:p>
    <w:p>
      <w:pPr>
        <w:pStyle w:val="11"/>
        <w:keepNext w:val="0"/>
        <w:keepLines w:val="0"/>
        <w:pageBreakBefore w:val="0"/>
        <w:widowControl w:val="0"/>
        <w:kinsoku/>
        <w:wordWrap/>
        <w:overflowPunct/>
        <w:topLinePunct w:val="0"/>
        <w:bidi w:val="0"/>
        <w:adjustRightInd/>
        <w:snapToGrid/>
        <w:spacing w:line="480" w:lineRule="exact"/>
        <w:ind w:right="0" w:rightChars="0" w:firstLine="420"/>
        <w:jc w:val="both"/>
        <w:textAlignment w:val="auto"/>
        <w:rPr>
          <w:rFonts w:ascii="仿宋_GB2312" w:hAnsi="仿宋_GB2312" w:eastAsia="仿宋_GB2312" w:cs="仿宋_GB2312"/>
          <w:sz w:val="28"/>
          <w:szCs w:val="28"/>
        </w:rPr>
      </w:pPr>
    </w:p>
    <w:p>
      <w:pPr>
        <w:pStyle w:val="11"/>
        <w:keepNext w:val="0"/>
        <w:keepLines w:val="0"/>
        <w:pageBreakBefore w:val="0"/>
        <w:widowControl w:val="0"/>
        <w:kinsoku/>
        <w:wordWrap/>
        <w:overflowPunct/>
        <w:topLinePunct w:val="0"/>
        <w:bidi w:val="0"/>
        <w:adjustRightInd/>
        <w:snapToGrid/>
        <w:spacing w:line="480" w:lineRule="exact"/>
        <w:ind w:right="0" w:rightChars="0" w:firstLine="420"/>
        <w:jc w:val="both"/>
        <w:textAlignment w:val="auto"/>
        <w:rPr>
          <w:sz w:val="28"/>
          <w:szCs w:val="28"/>
        </w:rPr>
        <w:sectPr>
          <w:pgSz w:w="11906" w:h="16838"/>
          <w:pgMar w:top="2098" w:right="1474" w:bottom="1984" w:left="1587" w:header="1418" w:footer="1531" w:gutter="283"/>
          <w:pgNumType w:fmt="numberInDash"/>
          <w:cols w:space="720" w:num="1"/>
          <w:formProt w:val="0"/>
          <w:docGrid w:type="lines" w:linePitch="318" w:charSpace="0"/>
        </w:sectPr>
      </w:pPr>
    </w:p>
    <w:p>
      <w:pPr>
        <w:pStyle w:val="18"/>
        <w:widowControl w:val="0"/>
      </w:pPr>
      <w:bookmarkStart w:id="103" w:name="BookMark5"/>
    </w:p>
    <w:p>
      <w:pPr>
        <w:pStyle w:val="19"/>
        <w:widowControl w:val="0"/>
      </w:pPr>
    </w:p>
    <w:bookmarkEnd w:id="103"/>
    <w:p>
      <w:pPr>
        <w:pStyle w:val="12"/>
        <w:widowControl w:val="0"/>
        <w:numPr>
          <w:ilvl w:val="0"/>
          <w:numId w:val="0"/>
        </w:numPr>
        <w:spacing w:beforeLines="0" w:afterLines="0" w:line="560" w:lineRule="exact"/>
        <w:jc w:val="both"/>
        <w:rPr>
          <w:rFonts w:ascii="方正小标宋简体" w:hAnsi="方正小标宋简体" w:eastAsia="方正小标宋简体" w:cs="方正小标宋简体"/>
          <w:sz w:val="32"/>
          <w:szCs w:val="32"/>
        </w:rPr>
      </w:pPr>
      <w:bookmarkStart w:id="104" w:name="_Toc59119002"/>
      <w:r>
        <w:rPr>
          <w:rFonts w:hint="eastAsia" w:ascii="方正小标宋简体" w:hAnsi="方正小标宋简体" w:eastAsia="方正小标宋简体" w:cs="方正小标宋简体"/>
          <w:sz w:val="32"/>
          <w:szCs w:val="32"/>
          <w:lang w:val="en-US" w:eastAsia="zh-CN"/>
        </w:rPr>
        <w:t xml:space="preserve"> </w:t>
      </w:r>
      <w:bookmarkStart w:id="105" w:name="_GoBack"/>
      <w:bookmarkEnd w:id="105"/>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附录A 农村幸福院等级评定评分表</w:t>
      </w:r>
      <w:bookmarkEnd w:id="104"/>
    </w:p>
    <w:tbl>
      <w:tblPr>
        <w:tblStyle w:val="6"/>
        <w:tblpPr w:leftFromText="180" w:rightFromText="180" w:vertAnchor="text" w:horzAnchor="page" w:tblpX="1267" w:tblpY="158"/>
        <w:tblOverlap w:val="never"/>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4"/>
        <w:gridCol w:w="6465"/>
        <w:gridCol w:w="64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blHeader/>
        </w:trPr>
        <w:tc>
          <w:tcPr>
            <w:tcW w:w="1891" w:type="dxa"/>
            <w:gridSpan w:val="2"/>
            <w:vAlign w:val="center"/>
          </w:tcPr>
          <w:p>
            <w:pPr>
              <w:spacing w:line="240" w:lineRule="exact"/>
              <w:jc w:val="center"/>
              <w:rPr>
                <w:rFonts w:ascii="宋体" w:hAnsi="宋体"/>
                <w:b/>
                <w:kern w:val="0"/>
                <w:szCs w:val="21"/>
              </w:rPr>
            </w:pPr>
            <w:r>
              <w:rPr>
                <w:rFonts w:hint="eastAsia" w:ascii="宋体" w:hAnsi="宋体"/>
                <w:b/>
                <w:kern w:val="0"/>
                <w:szCs w:val="21"/>
              </w:rPr>
              <w:t>项  目</w:t>
            </w:r>
          </w:p>
        </w:tc>
        <w:tc>
          <w:tcPr>
            <w:tcW w:w="6465" w:type="dxa"/>
            <w:vMerge w:val="restart"/>
            <w:vAlign w:val="center"/>
          </w:tcPr>
          <w:p>
            <w:pPr>
              <w:spacing w:line="240" w:lineRule="exact"/>
              <w:jc w:val="center"/>
              <w:rPr>
                <w:rFonts w:ascii="宋体" w:hAnsi="宋体"/>
                <w:b/>
                <w:kern w:val="0"/>
                <w:szCs w:val="21"/>
              </w:rPr>
            </w:pPr>
            <w:r>
              <w:rPr>
                <w:rFonts w:hint="eastAsia" w:ascii="宋体" w:hAnsi="宋体"/>
                <w:b/>
                <w:kern w:val="0"/>
                <w:szCs w:val="21"/>
              </w:rPr>
              <w:t>评 分 内 容 与 要 求</w:t>
            </w:r>
          </w:p>
        </w:tc>
        <w:tc>
          <w:tcPr>
            <w:tcW w:w="645" w:type="dxa"/>
            <w:vMerge w:val="restart"/>
            <w:vAlign w:val="center"/>
          </w:tcPr>
          <w:p>
            <w:pPr>
              <w:spacing w:line="240" w:lineRule="exact"/>
              <w:jc w:val="center"/>
              <w:rPr>
                <w:rFonts w:ascii="宋体" w:hAnsi="宋体"/>
                <w:b/>
                <w:kern w:val="0"/>
                <w:szCs w:val="21"/>
              </w:rPr>
            </w:pPr>
            <w:r>
              <w:rPr>
                <w:rFonts w:ascii="宋体" w:hAnsi="宋体"/>
                <w:b/>
                <w:kern w:val="0"/>
                <w:szCs w:val="21"/>
              </w:rPr>
              <w:t>评分</w:t>
            </w:r>
          </w:p>
          <w:p>
            <w:pPr>
              <w:spacing w:line="240" w:lineRule="exact"/>
              <w:jc w:val="center"/>
              <w:rPr>
                <w:rFonts w:ascii="宋体" w:hAnsi="宋体"/>
                <w:b/>
                <w:kern w:val="0"/>
                <w:szCs w:val="21"/>
              </w:rPr>
            </w:pPr>
            <w:r>
              <w:rPr>
                <w:rFonts w:ascii="宋体" w:hAnsi="宋体"/>
                <w:b/>
                <w:kern w:val="0"/>
                <w:szCs w:val="21"/>
              </w:rPr>
              <w:t>标准</w:t>
            </w:r>
          </w:p>
        </w:tc>
        <w:tc>
          <w:tcPr>
            <w:tcW w:w="660" w:type="dxa"/>
            <w:vMerge w:val="restart"/>
            <w:vAlign w:val="center"/>
          </w:tcPr>
          <w:p>
            <w:pPr>
              <w:spacing w:line="240" w:lineRule="exact"/>
              <w:jc w:val="center"/>
              <w:rPr>
                <w:rFonts w:ascii="宋体" w:hAnsi="宋体"/>
                <w:b/>
                <w:kern w:val="0"/>
                <w:szCs w:val="21"/>
              </w:rPr>
            </w:pPr>
            <w:r>
              <w:rPr>
                <w:rFonts w:ascii="宋体" w:hAnsi="宋体"/>
                <w:b/>
                <w:kern w:val="0"/>
                <w:szCs w:val="21"/>
              </w:rPr>
              <w:t>评定</w:t>
            </w:r>
          </w:p>
          <w:p>
            <w:pPr>
              <w:spacing w:line="240" w:lineRule="exact"/>
              <w:jc w:val="center"/>
              <w:rPr>
                <w:rFonts w:ascii="宋体" w:hAnsi="宋体"/>
                <w:b/>
                <w:kern w:val="0"/>
                <w:szCs w:val="21"/>
              </w:rPr>
            </w:pPr>
            <w:r>
              <w:rPr>
                <w:rFonts w:ascii="宋体" w:hAnsi="宋体"/>
                <w:b/>
                <w:kern w:val="0"/>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 w:hRule="atLeast"/>
          <w:tblHeader/>
        </w:trPr>
        <w:tc>
          <w:tcPr>
            <w:tcW w:w="817" w:type="dxa"/>
            <w:vAlign w:val="center"/>
          </w:tcPr>
          <w:p>
            <w:pPr>
              <w:spacing w:line="240" w:lineRule="exact"/>
              <w:jc w:val="center"/>
              <w:rPr>
                <w:rFonts w:ascii="宋体" w:hAnsi="宋体"/>
                <w:b/>
                <w:kern w:val="0"/>
                <w:szCs w:val="21"/>
              </w:rPr>
            </w:pPr>
            <w:r>
              <w:rPr>
                <w:rFonts w:hint="eastAsia" w:ascii="宋体" w:hAnsi="宋体"/>
                <w:b/>
                <w:kern w:val="0"/>
                <w:szCs w:val="21"/>
              </w:rPr>
              <w:t>大项</w:t>
            </w:r>
          </w:p>
        </w:tc>
        <w:tc>
          <w:tcPr>
            <w:tcW w:w="1074" w:type="dxa"/>
            <w:vAlign w:val="center"/>
          </w:tcPr>
          <w:p>
            <w:pPr>
              <w:spacing w:line="240" w:lineRule="exact"/>
              <w:jc w:val="center"/>
              <w:rPr>
                <w:rFonts w:ascii="宋体" w:hAnsi="宋体"/>
                <w:b/>
                <w:kern w:val="0"/>
                <w:szCs w:val="21"/>
              </w:rPr>
            </w:pPr>
            <w:r>
              <w:rPr>
                <w:rFonts w:hint="eastAsia" w:ascii="宋体" w:hAnsi="宋体"/>
                <w:b/>
                <w:kern w:val="0"/>
                <w:szCs w:val="21"/>
              </w:rPr>
              <w:t>分项</w:t>
            </w:r>
          </w:p>
        </w:tc>
        <w:tc>
          <w:tcPr>
            <w:tcW w:w="6465" w:type="dxa"/>
            <w:vMerge w:val="continue"/>
            <w:vAlign w:val="center"/>
          </w:tcPr>
          <w:p>
            <w:pPr>
              <w:spacing w:line="240" w:lineRule="exact"/>
              <w:rPr>
                <w:rFonts w:ascii="宋体" w:hAnsi="宋体"/>
                <w:b/>
                <w:kern w:val="0"/>
                <w:szCs w:val="21"/>
              </w:rPr>
            </w:pPr>
          </w:p>
        </w:tc>
        <w:tc>
          <w:tcPr>
            <w:tcW w:w="645" w:type="dxa"/>
            <w:vMerge w:val="continue"/>
            <w:vAlign w:val="center"/>
          </w:tcPr>
          <w:p>
            <w:pPr>
              <w:spacing w:line="240" w:lineRule="exact"/>
              <w:jc w:val="center"/>
              <w:rPr>
                <w:rFonts w:ascii="宋体" w:hAnsi="宋体"/>
                <w:kern w:val="0"/>
                <w:szCs w:val="21"/>
              </w:rPr>
            </w:pP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restart"/>
            <w:vAlign w:val="center"/>
          </w:tcPr>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置</w:t>
            </w:r>
          </w:p>
          <w:p>
            <w:pPr>
              <w:jc w:val="center"/>
              <w:rPr>
                <w:rFonts w:ascii="宋体" w:hAnsi="宋体"/>
                <w:szCs w:val="21"/>
              </w:rPr>
            </w:pPr>
            <w:r>
              <w:rPr>
                <w:rFonts w:hint="eastAsia" w:ascii="宋体" w:hAnsi="宋体"/>
                <w:szCs w:val="21"/>
              </w:rPr>
              <w:t>环</w:t>
            </w:r>
          </w:p>
          <w:p>
            <w:pPr>
              <w:jc w:val="center"/>
              <w:rPr>
                <w:rFonts w:ascii="宋体" w:hAnsi="宋体"/>
                <w:szCs w:val="21"/>
              </w:rPr>
            </w:pPr>
            <w:r>
              <w:rPr>
                <w:rFonts w:hint="eastAsia" w:ascii="宋体" w:hAnsi="宋体"/>
                <w:szCs w:val="21"/>
              </w:rPr>
              <w:t>境</w:t>
            </w:r>
          </w:p>
          <w:p>
            <w:pPr>
              <w:jc w:val="center"/>
              <w:rPr>
                <w:rFonts w:ascii="宋体" w:hAnsi="宋体"/>
                <w:spacing w:val="-20"/>
                <w:szCs w:val="21"/>
              </w:rPr>
            </w:pPr>
            <w:r>
              <w:rPr>
                <w:rFonts w:hint="eastAsia" w:ascii="宋体" w:hAnsi="宋体"/>
                <w:spacing w:val="-20"/>
                <w:sz w:val="20"/>
                <w:szCs w:val="20"/>
              </w:rPr>
              <w:t>（15分）</w:t>
            </w:r>
          </w:p>
        </w:tc>
        <w:tc>
          <w:tcPr>
            <w:tcW w:w="1074" w:type="dxa"/>
            <w:vMerge w:val="restart"/>
            <w:vAlign w:val="center"/>
          </w:tcPr>
          <w:p>
            <w:pPr>
              <w:spacing w:line="240" w:lineRule="exact"/>
              <w:jc w:val="center"/>
              <w:rPr>
                <w:rFonts w:ascii="宋体" w:hAnsi="宋体"/>
                <w:szCs w:val="21"/>
              </w:rPr>
            </w:pPr>
            <w:r>
              <w:rPr>
                <w:rFonts w:hint="eastAsia" w:ascii="宋体" w:hAnsi="宋体"/>
                <w:szCs w:val="21"/>
              </w:rPr>
              <w:t>地理位置</w:t>
            </w:r>
          </w:p>
          <w:p>
            <w:pPr>
              <w:spacing w:line="240" w:lineRule="exact"/>
              <w:jc w:val="center"/>
              <w:rPr>
                <w:rFonts w:ascii="宋体" w:hAnsi="宋体"/>
                <w:szCs w:val="21"/>
              </w:rPr>
            </w:pPr>
            <w:r>
              <w:rPr>
                <w:rFonts w:hint="eastAsia" w:ascii="宋体" w:hAnsi="宋体"/>
                <w:sz w:val="20"/>
                <w:szCs w:val="20"/>
              </w:rPr>
              <w:t>（4分）</w:t>
            </w:r>
          </w:p>
        </w:tc>
        <w:tc>
          <w:tcPr>
            <w:tcW w:w="6465" w:type="dxa"/>
            <w:vAlign w:val="center"/>
          </w:tcPr>
          <w:p>
            <w:pPr>
              <w:spacing w:line="220" w:lineRule="exact"/>
              <w:rPr>
                <w:rFonts w:ascii="宋体" w:hAnsi="宋体"/>
                <w:spacing w:val="-4"/>
                <w:kern w:val="0"/>
                <w:sz w:val="20"/>
                <w:szCs w:val="20"/>
              </w:rPr>
            </w:pPr>
            <w:r>
              <w:rPr>
                <w:rFonts w:ascii="宋体" w:hAnsi="宋体"/>
                <w:spacing w:val="-4"/>
                <w:kern w:val="0"/>
                <w:sz w:val="20"/>
                <w:szCs w:val="20"/>
              </w:rPr>
              <w:t>避开大型交叉路口，远离高噪源、污染源及危险品生产储运区</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2</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避开自然灾害易发区，综合考虑防火、防震等因素</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2</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周边环境</w:t>
            </w:r>
          </w:p>
          <w:p>
            <w:pPr>
              <w:jc w:val="center"/>
              <w:rPr>
                <w:rFonts w:ascii="宋体" w:hAnsi="宋体"/>
                <w:szCs w:val="21"/>
              </w:rPr>
            </w:pPr>
            <w:r>
              <w:rPr>
                <w:rFonts w:hint="eastAsia" w:ascii="宋体" w:hAnsi="宋体"/>
                <w:sz w:val="20"/>
                <w:szCs w:val="20"/>
              </w:rPr>
              <w:t>（3分）</w:t>
            </w:r>
          </w:p>
        </w:tc>
        <w:tc>
          <w:tcPr>
            <w:tcW w:w="6465" w:type="dxa"/>
            <w:vAlign w:val="center"/>
          </w:tcPr>
          <w:p>
            <w:pPr>
              <w:spacing w:line="220" w:lineRule="exact"/>
              <w:rPr>
                <w:rFonts w:ascii="宋体" w:hAnsi="宋体"/>
                <w:kern w:val="0"/>
                <w:sz w:val="20"/>
                <w:szCs w:val="20"/>
              </w:rPr>
            </w:pPr>
            <w:r>
              <w:rPr>
                <w:rFonts w:ascii="宋体" w:hAnsi="宋体"/>
                <w:kern w:val="0"/>
                <w:sz w:val="20"/>
                <w:szCs w:val="20"/>
              </w:rPr>
              <w:t>与医疗卫生、文化等农村公共服务设施统筹布局</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4"/>
                <w:kern w:val="0"/>
                <w:sz w:val="20"/>
                <w:szCs w:val="20"/>
              </w:rPr>
            </w:pPr>
            <w:r>
              <w:rPr>
                <w:rFonts w:ascii="宋体" w:hAnsi="宋体"/>
                <w:spacing w:val="-4"/>
                <w:kern w:val="0"/>
                <w:sz w:val="20"/>
                <w:szCs w:val="20"/>
              </w:rPr>
              <w:t>位于农村中心村或老年人日常集中活动点等老年人相对集中区</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6"/>
                <w:kern w:val="0"/>
                <w:sz w:val="20"/>
                <w:szCs w:val="20"/>
              </w:rPr>
            </w:pPr>
            <w:r>
              <w:rPr>
                <w:rFonts w:ascii="宋体" w:hAnsi="宋体"/>
                <w:spacing w:val="-6"/>
                <w:kern w:val="0"/>
                <w:sz w:val="20"/>
                <w:szCs w:val="20"/>
              </w:rPr>
              <w:t>交通便捷、地形平坦、阳光充足、通风良好、工程和水文条件较好</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公共环境</w:t>
            </w:r>
          </w:p>
          <w:p>
            <w:pPr>
              <w:jc w:val="center"/>
              <w:rPr>
                <w:rFonts w:ascii="宋体" w:hAnsi="宋体"/>
                <w:szCs w:val="21"/>
              </w:rPr>
            </w:pPr>
            <w:r>
              <w:rPr>
                <w:rFonts w:hint="eastAsia" w:ascii="宋体" w:hAnsi="宋体"/>
                <w:sz w:val="20"/>
                <w:szCs w:val="20"/>
              </w:rPr>
              <w:t>（3分）</w:t>
            </w: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室内</w:t>
            </w:r>
            <w:r>
              <w:rPr>
                <w:rFonts w:ascii="宋体" w:hAnsi="宋体"/>
                <w:kern w:val="0"/>
                <w:sz w:val="20"/>
                <w:szCs w:val="20"/>
              </w:rPr>
              <w:t>场所明亮，空间无异味</w:t>
            </w:r>
            <w:r>
              <w:rPr>
                <w:rFonts w:hint="eastAsia" w:ascii="宋体" w:hAnsi="宋体"/>
                <w:kern w:val="0"/>
                <w:sz w:val="20"/>
                <w:szCs w:val="20"/>
              </w:rPr>
              <w:t>,室外场所实现硬化、绿化、美化</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窗户有纱窗或其他防蚊蝇措施</w:t>
            </w:r>
            <w:r>
              <w:rPr>
                <w:rFonts w:hint="eastAsia" w:ascii="宋体" w:hAnsi="宋体"/>
                <w:kern w:val="0"/>
                <w:sz w:val="20"/>
                <w:szCs w:val="20"/>
              </w:rPr>
              <w:t>,</w:t>
            </w:r>
            <w:r>
              <w:rPr>
                <w:rFonts w:ascii="宋体" w:hAnsi="宋体"/>
                <w:kern w:val="0"/>
                <w:sz w:val="20"/>
                <w:szCs w:val="20"/>
              </w:rPr>
              <w:t>地面整洁、干燥，物品摆放合理</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公共区域有明显标示</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管理制度</w:t>
            </w:r>
          </w:p>
          <w:p>
            <w:pPr>
              <w:jc w:val="center"/>
              <w:rPr>
                <w:rFonts w:ascii="宋体" w:hAnsi="宋体"/>
                <w:szCs w:val="21"/>
              </w:rPr>
            </w:pPr>
            <w:r>
              <w:rPr>
                <w:rFonts w:hint="eastAsia" w:ascii="宋体" w:hAnsi="宋体"/>
                <w:sz w:val="20"/>
                <w:szCs w:val="20"/>
              </w:rPr>
              <w:t>（5分）</w:t>
            </w: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建立服务人员管理制度并执行，有公布管理人员联系方式</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建立财务管理制度并执行，主动接受监督，按时公布经费物资收支情况</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建立卫生管理制度并执行</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建立档案管理制度并执行，有长期活动老人花名册</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6"/>
                <w:kern w:val="0"/>
                <w:sz w:val="20"/>
                <w:szCs w:val="20"/>
              </w:rPr>
            </w:pPr>
            <w:r>
              <w:rPr>
                <w:rFonts w:ascii="宋体" w:hAnsi="宋体"/>
                <w:spacing w:val="-6"/>
                <w:kern w:val="0"/>
                <w:sz w:val="20"/>
                <w:szCs w:val="20"/>
              </w:rPr>
              <w:t>建立设施设备使用管理制度并执行，明确功能设施设备使用要求</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restart"/>
            <w:vAlign w:val="center"/>
          </w:tcPr>
          <w:p>
            <w:pPr>
              <w:jc w:val="center"/>
              <w:rPr>
                <w:rFonts w:ascii="宋体" w:hAnsi="宋体"/>
                <w:szCs w:val="21"/>
              </w:rPr>
            </w:pPr>
            <w:r>
              <w:rPr>
                <w:rFonts w:hint="eastAsia" w:ascii="宋体" w:hAnsi="宋体"/>
                <w:szCs w:val="21"/>
              </w:rPr>
              <w:t>管</w:t>
            </w:r>
          </w:p>
          <w:p>
            <w:pPr>
              <w:jc w:val="center"/>
              <w:rPr>
                <w:rFonts w:ascii="宋体" w:hAnsi="宋体"/>
                <w:szCs w:val="21"/>
              </w:rPr>
            </w:pPr>
            <w:r>
              <w:rPr>
                <w:rFonts w:hint="eastAsia" w:ascii="宋体" w:hAnsi="宋体"/>
                <w:szCs w:val="21"/>
              </w:rPr>
              <w:t>理</w:t>
            </w:r>
          </w:p>
          <w:p>
            <w:pPr>
              <w:jc w:val="center"/>
              <w:rPr>
                <w:rFonts w:ascii="宋体" w:hAnsi="宋体"/>
                <w:szCs w:val="21"/>
              </w:rPr>
            </w:pPr>
            <w:r>
              <w:rPr>
                <w:rFonts w:hint="eastAsia" w:ascii="宋体" w:hAnsi="宋体"/>
                <w:szCs w:val="21"/>
              </w:rPr>
              <w:t>工</w:t>
            </w:r>
          </w:p>
          <w:p>
            <w:pPr>
              <w:jc w:val="center"/>
              <w:rPr>
                <w:rFonts w:ascii="宋体" w:hAnsi="宋体"/>
                <w:szCs w:val="21"/>
              </w:rPr>
            </w:pPr>
            <w:r>
              <w:rPr>
                <w:rFonts w:hint="eastAsia" w:ascii="宋体" w:hAnsi="宋体"/>
                <w:szCs w:val="21"/>
              </w:rPr>
              <w:t>作</w:t>
            </w:r>
          </w:p>
          <w:p>
            <w:pPr>
              <w:jc w:val="center"/>
              <w:rPr>
                <w:rFonts w:ascii="宋体" w:hAnsi="宋体"/>
                <w:spacing w:val="-20"/>
                <w:szCs w:val="21"/>
              </w:rPr>
            </w:pPr>
            <w:r>
              <w:rPr>
                <w:rFonts w:hint="eastAsia" w:ascii="宋体" w:hAnsi="宋体"/>
                <w:spacing w:val="-20"/>
                <w:sz w:val="20"/>
                <w:szCs w:val="20"/>
              </w:rPr>
              <w:t>（10分）</w:t>
            </w:r>
          </w:p>
        </w:tc>
        <w:tc>
          <w:tcPr>
            <w:tcW w:w="1074" w:type="dxa"/>
            <w:vMerge w:val="restart"/>
            <w:vAlign w:val="center"/>
          </w:tcPr>
          <w:p>
            <w:pPr>
              <w:jc w:val="center"/>
              <w:rPr>
                <w:rFonts w:ascii="宋体" w:hAnsi="宋体"/>
                <w:szCs w:val="21"/>
              </w:rPr>
            </w:pPr>
            <w:r>
              <w:rPr>
                <w:rFonts w:hint="eastAsia" w:ascii="宋体" w:hAnsi="宋体"/>
                <w:szCs w:val="21"/>
              </w:rPr>
              <w:t>安全管理</w:t>
            </w:r>
          </w:p>
          <w:p>
            <w:pPr>
              <w:jc w:val="center"/>
              <w:rPr>
                <w:rFonts w:ascii="宋体" w:hAnsi="宋体"/>
                <w:szCs w:val="21"/>
              </w:rPr>
            </w:pPr>
            <w:r>
              <w:rPr>
                <w:rFonts w:hint="eastAsia" w:ascii="宋体" w:hAnsi="宋体"/>
                <w:sz w:val="20"/>
                <w:szCs w:val="20"/>
              </w:rPr>
              <w:t>（5分）</w:t>
            </w:r>
          </w:p>
        </w:tc>
        <w:tc>
          <w:tcPr>
            <w:tcW w:w="6465" w:type="dxa"/>
            <w:vAlign w:val="center"/>
          </w:tcPr>
          <w:p>
            <w:pPr>
              <w:spacing w:line="220" w:lineRule="exact"/>
              <w:rPr>
                <w:rFonts w:ascii="宋体" w:hAnsi="宋体"/>
                <w:b/>
                <w:bCs/>
                <w:kern w:val="0"/>
                <w:sz w:val="20"/>
                <w:szCs w:val="20"/>
              </w:rPr>
            </w:pPr>
            <w:r>
              <w:rPr>
                <w:rFonts w:ascii="宋体" w:hAnsi="宋体"/>
                <w:kern w:val="0"/>
                <w:sz w:val="20"/>
                <w:szCs w:val="20"/>
              </w:rPr>
              <w:t>一年内</w:t>
            </w:r>
            <w:r>
              <w:rPr>
                <w:rFonts w:hint="eastAsia" w:ascii="宋体" w:hAnsi="宋体"/>
                <w:kern w:val="0"/>
                <w:sz w:val="20"/>
                <w:szCs w:val="20"/>
              </w:rPr>
              <w:t>应</w:t>
            </w:r>
            <w:r>
              <w:rPr>
                <w:rFonts w:ascii="宋体" w:hAnsi="宋体"/>
                <w:kern w:val="0"/>
                <w:sz w:val="20"/>
                <w:szCs w:val="20"/>
              </w:rPr>
              <w:t>无责任事故发生（不符合此项要求，则自动终止星级评定程序）</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建立安全管理制度并执行</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有</w:t>
            </w:r>
            <w:r>
              <w:rPr>
                <w:rFonts w:ascii="宋体" w:hAnsi="宋体"/>
                <w:kern w:val="0"/>
                <w:sz w:val="20"/>
                <w:szCs w:val="20"/>
              </w:rPr>
              <w:t>开展防火、用电、食品、卫生等安全检查</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有意外伤害、突发疾病、和火灾的应急预案</w:t>
            </w:r>
            <w:r>
              <w:rPr>
                <w:rFonts w:hint="eastAsia" w:ascii="宋体" w:hAnsi="宋体"/>
                <w:kern w:val="0"/>
                <w:sz w:val="20"/>
                <w:szCs w:val="20"/>
              </w:rPr>
              <w:t>并组织演练</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有</w:t>
            </w:r>
            <w:r>
              <w:rPr>
                <w:rFonts w:ascii="宋体" w:hAnsi="宋体"/>
                <w:kern w:val="0"/>
                <w:sz w:val="20"/>
                <w:szCs w:val="20"/>
              </w:rPr>
              <w:t>开展安全防护知识培训及应急疏散演练</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安全设施</w:t>
            </w:r>
          </w:p>
          <w:p>
            <w:pPr>
              <w:jc w:val="center"/>
              <w:rPr>
                <w:rFonts w:ascii="宋体" w:hAnsi="宋体"/>
                <w:szCs w:val="21"/>
              </w:rPr>
            </w:pPr>
            <w:r>
              <w:rPr>
                <w:rFonts w:hint="eastAsia" w:ascii="宋体" w:hAnsi="宋体"/>
                <w:sz w:val="20"/>
                <w:szCs w:val="20"/>
              </w:rPr>
              <w:t>（5分）</w:t>
            </w:r>
          </w:p>
        </w:tc>
        <w:tc>
          <w:tcPr>
            <w:tcW w:w="6465" w:type="dxa"/>
            <w:vAlign w:val="center"/>
          </w:tcPr>
          <w:p>
            <w:pPr>
              <w:spacing w:line="220" w:lineRule="exact"/>
              <w:rPr>
                <w:rFonts w:ascii="宋体" w:hAnsi="宋体"/>
                <w:kern w:val="0"/>
                <w:sz w:val="20"/>
                <w:szCs w:val="20"/>
              </w:rPr>
            </w:pPr>
            <w:r>
              <w:rPr>
                <w:rFonts w:ascii="宋体" w:hAnsi="宋体"/>
                <w:kern w:val="0"/>
                <w:sz w:val="20"/>
                <w:szCs w:val="20"/>
              </w:rPr>
              <w:t>多层建筑有防跌落措施</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主要出入口、坡道、台阶、扶手作无障碍设置</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配齐消防设施设备，确保完好有效</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卫生间配备应急报警器，门锁能双向开启</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设施设备牢固稳定，无尖角、锐边、毛刺</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restart"/>
            <w:vAlign w:val="center"/>
          </w:tcPr>
          <w:p>
            <w:pPr>
              <w:jc w:val="center"/>
              <w:rPr>
                <w:rFonts w:ascii="宋体" w:hAnsi="宋体"/>
                <w:szCs w:val="21"/>
              </w:rPr>
            </w:pPr>
            <w:r>
              <w:rPr>
                <w:rFonts w:hint="eastAsia" w:ascii="宋体" w:hAnsi="宋体"/>
                <w:szCs w:val="21"/>
              </w:rPr>
              <w:t>等</w:t>
            </w:r>
          </w:p>
          <w:p>
            <w:pPr>
              <w:jc w:val="center"/>
              <w:rPr>
                <w:rFonts w:ascii="宋体" w:hAnsi="宋体"/>
                <w:szCs w:val="21"/>
              </w:rPr>
            </w:pPr>
            <w:r>
              <w:rPr>
                <w:rFonts w:hint="eastAsia" w:ascii="宋体" w:hAnsi="宋体"/>
                <w:szCs w:val="21"/>
              </w:rPr>
              <w:t>级</w:t>
            </w:r>
          </w:p>
          <w:p>
            <w:pPr>
              <w:jc w:val="center"/>
              <w:rPr>
                <w:rFonts w:ascii="宋体" w:hAnsi="宋体"/>
                <w:szCs w:val="21"/>
              </w:rPr>
            </w:pPr>
            <w:r>
              <w:rPr>
                <w:rFonts w:hint="eastAsia" w:ascii="宋体" w:hAnsi="宋体"/>
                <w:szCs w:val="21"/>
              </w:rPr>
              <w:t>划</w:t>
            </w:r>
          </w:p>
          <w:p>
            <w:pPr>
              <w:jc w:val="center"/>
              <w:rPr>
                <w:rFonts w:ascii="宋体" w:hAnsi="宋体"/>
                <w:szCs w:val="21"/>
              </w:rPr>
            </w:pPr>
            <w:r>
              <w:rPr>
                <w:rFonts w:hint="eastAsia" w:ascii="宋体" w:hAnsi="宋体"/>
                <w:szCs w:val="21"/>
              </w:rPr>
              <w:t>分</w:t>
            </w:r>
          </w:p>
          <w:p>
            <w:pPr>
              <w:jc w:val="center"/>
              <w:rPr>
                <w:rFonts w:ascii="宋体" w:hAnsi="宋体"/>
                <w:szCs w:val="21"/>
              </w:rPr>
            </w:pPr>
            <w:r>
              <w:rPr>
                <w:rFonts w:hint="eastAsia" w:ascii="宋体" w:hAnsi="宋体"/>
                <w:szCs w:val="21"/>
              </w:rPr>
              <w:t>条</w:t>
            </w:r>
          </w:p>
          <w:p>
            <w:pPr>
              <w:jc w:val="center"/>
              <w:rPr>
                <w:rFonts w:ascii="宋体" w:hAnsi="宋体"/>
                <w:szCs w:val="21"/>
              </w:rPr>
            </w:pPr>
            <w:r>
              <w:rPr>
                <w:rFonts w:hint="eastAsia" w:ascii="宋体" w:hAnsi="宋体"/>
                <w:szCs w:val="21"/>
              </w:rPr>
              <w:t>件</w:t>
            </w:r>
          </w:p>
          <w:p>
            <w:pPr>
              <w:jc w:val="center"/>
              <w:rPr>
                <w:rFonts w:ascii="宋体" w:hAnsi="宋体"/>
                <w:szCs w:val="21"/>
              </w:rPr>
            </w:pPr>
            <w:r>
              <w:rPr>
                <w:rFonts w:hint="eastAsia" w:ascii="宋体" w:hAnsi="宋体"/>
                <w:spacing w:val="-20"/>
                <w:sz w:val="20"/>
                <w:szCs w:val="20"/>
              </w:rPr>
              <w:t>（75分）</w:t>
            </w:r>
          </w:p>
        </w:tc>
        <w:tc>
          <w:tcPr>
            <w:tcW w:w="1074" w:type="dxa"/>
            <w:vMerge w:val="restart"/>
            <w:vAlign w:val="center"/>
          </w:tcPr>
          <w:p>
            <w:pPr>
              <w:jc w:val="center"/>
              <w:rPr>
                <w:rFonts w:ascii="宋体" w:hAnsi="宋体"/>
                <w:szCs w:val="21"/>
              </w:rPr>
            </w:pPr>
            <w:r>
              <w:rPr>
                <w:rFonts w:hint="eastAsia" w:ascii="宋体" w:hAnsi="宋体"/>
                <w:szCs w:val="21"/>
              </w:rPr>
              <w:t>建</w:t>
            </w:r>
          </w:p>
          <w:p>
            <w:pPr>
              <w:jc w:val="center"/>
              <w:rPr>
                <w:rFonts w:ascii="宋体" w:hAnsi="宋体"/>
                <w:szCs w:val="21"/>
              </w:rPr>
            </w:pPr>
            <w:r>
              <w:rPr>
                <w:rFonts w:hint="eastAsia" w:ascii="宋体" w:hAnsi="宋体"/>
                <w:szCs w:val="21"/>
              </w:rPr>
              <w:t>筑</w:t>
            </w:r>
          </w:p>
          <w:p>
            <w:pPr>
              <w:jc w:val="center"/>
              <w:rPr>
                <w:rFonts w:ascii="宋体" w:hAnsi="宋体"/>
                <w:szCs w:val="21"/>
              </w:rPr>
            </w:pPr>
            <w:r>
              <w:rPr>
                <w:rFonts w:hint="eastAsia" w:ascii="宋体" w:hAnsi="宋体"/>
                <w:szCs w:val="21"/>
              </w:rPr>
              <w:t>结</w:t>
            </w:r>
          </w:p>
          <w:p>
            <w:pPr>
              <w:jc w:val="center"/>
              <w:rPr>
                <w:rFonts w:ascii="宋体" w:hAnsi="宋体"/>
                <w:szCs w:val="21"/>
              </w:rPr>
            </w:pPr>
            <w:r>
              <w:rPr>
                <w:rFonts w:hint="eastAsia" w:ascii="宋体" w:hAnsi="宋体"/>
                <w:szCs w:val="21"/>
              </w:rPr>
              <w:t>构</w:t>
            </w:r>
          </w:p>
          <w:p>
            <w:pPr>
              <w:jc w:val="center"/>
              <w:rPr>
                <w:rFonts w:ascii="宋体" w:hAnsi="宋体"/>
                <w:szCs w:val="21"/>
              </w:rPr>
            </w:pPr>
            <w:r>
              <w:rPr>
                <w:rFonts w:hint="eastAsia" w:ascii="宋体" w:hAnsi="宋体"/>
                <w:szCs w:val="21"/>
              </w:rPr>
              <w:t>和</w:t>
            </w:r>
          </w:p>
          <w:p>
            <w:pPr>
              <w:jc w:val="center"/>
              <w:rPr>
                <w:rFonts w:ascii="宋体" w:hAnsi="宋体"/>
                <w:szCs w:val="21"/>
              </w:rPr>
            </w:pPr>
            <w:r>
              <w:rPr>
                <w:rFonts w:hint="eastAsia" w:ascii="宋体" w:hAnsi="宋体"/>
                <w:szCs w:val="21"/>
              </w:rPr>
              <w:t>设</w:t>
            </w:r>
          </w:p>
          <w:p>
            <w:pPr>
              <w:jc w:val="center"/>
              <w:rPr>
                <w:rFonts w:ascii="宋体" w:hAnsi="宋体"/>
                <w:szCs w:val="21"/>
              </w:rPr>
            </w:pPr>
            <w:r>
              <w:rPr>
                <w:rFonts w:hint="eastAsia" w:ascii="宋体" w:hAnsi="宋体"/>
                <w:szCs w:val="21"/>
              </w:rPr>
              <w:t>施</w:t>
            </w:r>
          </w:p>
          <w:p>
            <w:pPr>
              <w:jc w:val="center"/>
              <w:rPr>
                <w:rFonts w:ascii="宋体" w:hAnsi="宋体"/>
                <w:szCs w:val="21"/>
              </w:rPr>
            </w:pPr>
            <w:r>
              <w:rPr>
                <w:rFonts w:hint="eastAsia" w:ascii="宋体" w:hAnsi="宋体"/>
                <w:sz w:val="20"/>
                <w:szCs w:val="20"/>
              </w:rPr>
              <w:t>（20分）</w:t>
            </w:r>
          </w:p>
        </w:tc>
        <w:tc>
          <w:tcPr>
            <w:tcW w:w="6465" w:type="dxa"/>
            <w:vAlign w:val="center"/>
          </w:tcPr>
          <w:p>
            <w:pPr>
              <w:spacing w:line="220" w:lineRule="exact"/>
              <w:rPr>
                <w:rFonts w:ascii="宋体" w:hAnsi="宋体"/>
                <w:kern w:val="0"/>
                <w:sz w:val="20"/>
                <w:szCs w:val="20"/>
              </w:rPr>
            </w:pPr>
            <w:r>
              <w:rPr>
                <w:rFonts w:hint="eastAsia" w:ascii="宋体" w:hAnsi="宋体"/>
                <w:sz w:val="20"/>
                <w:szCs w:val="20"/>
              </w:rPr>
              <w:t>建筑面积不小于</w:t>
            </w:r>
            <w:r>
              <w:rPr>
                <w:rFonts w:ascii="宋体" w:hAnsi="宋体"/>
                <w:sz w:val="20"/>
                <w:szCs w:val="20"/>
              </w:rPr>
              <w:t>300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建筑面积不小于2</w:t>
            </w:r>
            <w:r>
              <w:rPr>
                <w:rFonts w:ascii="宋体" w:hAnsi="宋体"/>
                <w:sz w:val="20"/>
                <w:szCs w:val="20"/>
              </w:rPr>
              <w:t>00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建筑面积不小于1</w:t>
            </w:r>
            <w:r>
              <w:rPr>
                <w:rFonts w:ascii="宋体" w:hAnsi="宋体"/>
                <w:sz w:val="20"/>
                <w:szCs w:val="20"/>
              </w:rPr>
              <w:t>00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内设医疗机构（卫生所）或签约医疗机构，直线距离不大于</w:t>
            </w:r>
            <w:r>
              <w:rPr>
                <w:rFonts w:ascii="宋体" w:hAnsi="宋体"/>
                <w:sz w:val="20"/>
                <w:szCs w:val="20"/>
              </w:rPr>
              <w:t>200</w:t>
            </w:r>
            <w:r>
              <w:rPr>
                <w:rFonts w:hint="eastAsia" w:ascii="宋体" w:hAnsi="宋体"/>
                <w:sz w:val="20"/>
                <w:szCs w:val="20"/>
              </w:rPr>
              <w:t xml:space="preserve"> m</w:t>
            </w:r>
          </w:p>
        </w:tc>
        <w:tc>
          <w:tcPr>
            <w:tcW w:w="645" w:type="dxa"/>
            <w:vAlign w:val="center"/>
          </w:tcPr>
          <w:p>
            <w:pPr>
              <w:spacing w:line="200" w:lineRule="exact"/>
              <w:jc w:val="center"/>
              <w:rPr>
                <w:rFonts w:ascii="宋体" w:hAnsi="宋体"/>
                <w:kern w:val="0"/>
                <w:szCs w:val="21"/>
              </w:rPr>
            </w:pPr>
            <w:r>
              <w:rPr>
                <w:rFonts w:ascii="宋体" w:hAnsi="宋体"/>
                <w:kern w:val="0"/>
                <w:szCs w:val="21"/>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内设医疗室或签约医疗机构</w:t>
            </w:r>
            <w:r>
              <w:rPr>
                <w:rFonts w:hint="eastAsia" w:ascii="宋体" w:hAnsi="宋体"/>
                <w:kern w:val="0"/>
                <w:sz w:val="20"/>
                <w:szCs w:val="20"/>
              </w:rPr>
              <w:t>，</w:t>
            </w:r>
            <w:r>
              <w:rPr>
                <w:rFonts w:ascii="宋体" w:hAnsi="宋体"/>
                <w:kern w:val="0"/>
                <w:sz w:val="20"/>
                <w:szCs w:val="20"/>
              </w:rPr>
              <w:t>直线距离不大于500</w:t>
            </w:r>
            <w:r>
              <w:rPr>
                <w:rFonts w:hint="eastAsia" w:ascii="宋体" w:hAnsi="宋体"/>
                <w:kern w:val="0"/>
                <w:sz w:val="20"/>
                <w:szCs w:val="20"/>
              </w:rPr>
              <w:t xml:space="preserve"> m</w:t>
            </w:r>
          </w:p>
        </w:tc>
        <w:tc>
          <w:tcPr>
            <w:tcW w:w="645" w:type="dxa"/>
            <w:vAlign w:val="center"/>
          </w:tcPr>
          <w:p>
            <w:pPr>
              <w:spacing w:line="200" w:lineRule="exact"/>
              <w:jc w:val="center"/>
              <w:rPr>
                <w:rFonts w:ascii="宋体" w:hAnsi="宋体"/>
                <w:kern w:val="0"/>
                <w:szCs w:val="21"/>
              </w:rPr>
            </w:pPr>
            <w:r>
              <w:rPr>
                <w:rFonts w:ascii="宋体" w:hAnsi="宋体"/>
                <w:kern w:val="0"/>
                <w:szCs w:val="21"/>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配备医疗急救箱</w:t>
            </w:r>
            <w:r>
              <w:rPr>
                <w:rFonts w:hint="eastAsia" w:ascii="宋体" w:hAnsi="宋体"/>
                <w:kern w:val="0"/>
                <w:sz w:val="20"/>
                <w:szCs w:val="20"/>
              </w:rPr>
              <w:t>或</w:t>
            </w:r>
            <w:r>
              <w:rPr>
                <w:rFonts w:ascii="宋体" w:hAnsi="宋体"/>
                <w:kern w:val="0"/>
                <w:sz w:val="20"/>
                <w:szCs w:val="20"/>
              </w:rPr>
              <w:t>签约医疗机构</w:t>
            </w:r>
            <w:r>
              <w:rPr>
                <w:rFonts w:hint="eastAsia" w:ascii="宋体" w:hAnsi="宋体"/>
                <w:kern w:val="0"/>
                <w:sz w:val="20"/>
                <w:szCs w:val="20"/>
              </w:rPr>
              <w:t>，</w:t>
            </w:r>
            <w:r>
              <w:rPr>
                <w:rFonts w:ascii="宋体" w:hAnsi="宋体"/>
                <w:kern w:val="0"/>
                <w:sz w:val="20"/>
                <w:szCs w:val="20"/>
              </w:rPr>
              <w:t>直线距离不大于800</w:t>
            </w:r>
            <w:r>
              <w:rPr>
                <w:rFonts w:hint="eastAsia" w:ascii="宋体" w:hAnsi="宋体"/>
                <w:kern w:val="0"/>
                <w:sz w:val="20"/>
                <w:szCs w:val="20"/>
              </w:rPr>
              <w:t xml:space="preserve"> m</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配置综合活动室，使用面积不小于</w:t>
            </w:r>
            <w:r>
              <w:rPr>
                <w:rFonts w:ascii="宋体" w:hAnsi="宋体"/>
                <w:sz w:val="20"/>
                <w:szCs w:val="20"/>
              </w:rPr>
              <w:t>80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配置综合活动室，使用面积不小于4</w:t>
            </w:r>
            <w:r>
              <w:rPr>
                <w:rFonts w:ascii="宋体" w:hAnsi="宋体"/>
                <w:sz w:val="20"/>
                <w:szCs w:val="20"/>
              </w:rPr>
              <w:t>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配置独立休息室，使用面积不小于</w:t>
            </w:r>
            <w:r>
              <w:rPr>
                <w:rFonts w:ascii="宋体" w:hAnsi="宋体"/>
                <w:sz w:val="20"/>
                <w:szCs w:val="20"/>
              </w:rPr>
              <w:t>50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配备独立休息室，使用面积不小于25 ㎡</w:t>
            </w:r>
          </w:p>
        </w:tc>
        <w:tc>
          <w:tcPr>
            <w:tcW w:w="645" w:type="dxa"/>
            <w:vAlign w:val="center"/>
          </w:tcPr>
          <w:p>
            <w:pPr>
              <w:spacing w:line="200" w:lineRule="exact"/>
              <w:jc w:val="center"/>
              <w:rPr>
                <w:rFonts w:ascii="宋体" w:hAnsi="宋体"/>
                <w:kern w:val="0"/>
                <w:szCs w:val="21"/>
              </w:rPr>
            </w:pPr>
            <w:r>
              <w:rPr>
                <w:rFonts w:ascii="宋体" w:hAnsi="宋体"/>
                <w:kern w:val="0"/>
                <w:szCs w:val="21"/>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配备独立休息室，使用面积不小于15 ㎡</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独立设置备餐间、就餐间，总使用面积不小于</w:t>
            </w:r>
            <w:r>
              <w:rPr>
                <w:rFonts w:ascii="宋体" w:hAnsi="宋体"/>
                <w:sz w:val="20"/>
                <w:szCs w:val="20"/>
              </w:rPr>
              <w:t>50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有就餐区，独立设置备餐间，使用面积不小于25 ㎡</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有室外活动场所，面积不小于</w:t>
            </w:r>
            <w:r>
              <w:rPr>
                <w:rFonts w:ascii="宋体" w:hAnsi="宋体"/>
                <w:sz w:val="20"/>
                <w:szCs w:val="20"/>
              </w:rPr>
              <w:t>120</w:t>
            </w:r>
            <w:r>
              <w:rPr>
                <w:rFonts w:hint="eastAsia" w:ascii="宋体" w:hAnsi="宋体"/>
                <w:sz w:val="20"/>
                <w:szCs w:val="20"/>
              </w:rPr>
              <w:t xml:space="preserve"> ㎡</w:t>
            </w:r>
          </w:p>
        </w:tc>
        <w:tc>
          <w:tcPr>
            <w:tcW w:w="645" w:type="dxa"/>
            <w:vAlign w:val="center"/>
          </w:tcPr>
          <w:p>
            <w:pPr>
              <w:spacing w:line="200" w:lineRule="exact"/>
              <w:jc w:val="center"/>
              <w:rPr>
                <w:rFonts w:ascii="宋体" w:hAnsi="宋体"/>
                <w:kern w:val="0"/>
                <w:szCs w:val="21"/>
              </w:rPr>
            </w:pPr>
            <w:r>
              <w:rPr>
                <w:rFonts w:ascii="宋体" w:hAnsi="宋体"/>
                <w:kern w:val="0"/>
                <w:szCs w:val="21"/>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有室外活动场所，面积不小于80 ㎡</w:t>
            </w:r>
          </w:p>
        </w:tc>
        <w:tc>
          <w:tcPr>
            <w:tcW w:w="645" w:type="dxa"/>
            <w:vAlign w:val="center"/>
          </w:tcPr>
          <w:p>
            <w:pPr>
              <w:spacing w:line="200" w:lineRule="exact"/>
              <w:jc w:val="center"/>
              <w:rPr>
                <w:rFonts w:ascii="宋体" w:hAnsi="宋体"/>
                <w:kern w:val="0"/>
                <w:szCs w:val="21"/>
              </w:rPr>
            </w:pPr>
            <w:r>
              <w:rPr>
                <w:rFonts w:ascii="宋体" w:hAnsi="宋体"/>
                <w:kern w:val="0"/>
                <w:szCs w:val="21"/>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有室外活动场所，面积不小于50 ㎡</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00" w:lineRule="exact"/>
              <w:rPr>
                <w:rFonts w:ascii="宋体" w:hAnsi="宋体"/>
                <w:sz w:val="20"/>
                <w:szCs w:val="20"/>
              </w:rPr>
            </w:pPr>
            <w:r>
              <w:rPr>
                <w:rFonts w:hint="eastAsia" w:ascii="宋体" w:hAnsi="宋体"/>
                <w:sz w:val="20"/>
                <w:szCs w:val="20"/>
              </w:rPr>
              <w:t>独立设置文化活动室，单间使用面积不宜小于</w:t>
            </w:r>
            <w:r>
              <w:rPr>
                <w:rFonts w:ascii="宋体" w:hAnsi="宋体"/>
                <w:sz w:val="20"/>
                <w:szCs w:val="20"/>
              </w:rPr>
              <w:t>10</w:t>
            </w:r>
            <w:r>
              <w:rPr>
                <w:rFonts w:hint="eastAsia" w:ascii="宋体" w:hAnsi="宋体"/>
                <w:sz w:val="20"/>
                <w:szCs w:val="20"/>
              </w:rPr>
              <w:t xml:space="preserve"> ㎡，间数不宜少于</w:t>
            </w:r>
            <w:r>
              <w:rPr>
                <w:rFonts w:ascii="宋体" w:hAnsi="宋体"/>
                <w:sz w:val="20"/>
                <w:szCs w:val="20"/>
              </w:rPr>
              <w:t>3</w:t>
            </w:r>
            <w:r>
              <w:rPr>
                <w:rFonts w:hint="eastAsia" w:ascii="宋体" w:hAnsi="宋体"/>
                <w:sz w:val="20"/>
                <w:szCs w:val="20"/>
              </w:rPr>
              <w:t>间，可以是书画室、阅读室、电脑室、手工制作室、音像室等</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独立设置文化活动室，使用面积不小于10 ㎡</w:t>
            </w:r>
          </w:p>
        </w:tc>
        <w:tc>
          <w:tcPr>
            <w:tcW w:w="645" w:type="dxa"/>
            <w:vAlign w:val="center"/>
          </w:tcPr>
          <w:p>
            <w:pPr>
              <w:spacing w:line="200" w:lineRule="exact"/>
              <w:jc w:val="center"/>
              <w:rPr>
                <w:rFonts w:ascii="宋体" w:hAnsi="宋体"/>
                <w:kern w:val="0"/>
                <w:szCs w:val="21"/>
              </w:rPr>
            </w:pPr>
            <w:r>
              <w:rPr>
                <w:rFonts w:hint="eastAsia"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配备与空间相匹配的空调</w:t>
            </w:r>
          </w:p>
        </w:tc>
        <w:tc>
          <w:tcPr>
            <w:tcW w:w="645" w:type="dxa"/>
            <w:vAlign w:val="center"/>
          </w:tcPr>
          <w:p>
            <w:pPr>
              <w:spacing w:line="200" w:lineRule="exact"/>
              <w:jc w:val="center"/>
              <w:rPr>
                <w:rFonts w:ascii="宋体" w:hAnsi="宋体"/>
                <w:kern w:val="0"/>
                <w:szCs w:val="21"/>
              </w:rPr>
            </w:pPr>
            <w:r>
              <w:rPr>
                <w:rFonts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配备风扇或其它温度控制设备</w:t>
            </w:r>
          </w:p>
        </w:tc>
        <w:tc>
          <w:tcPr>
            <w:tcW w:w="645" w:type="dxa"/>
            <w:vAlign w:val="center"/>
          </w:tcPr>
          <w:p>
            <w:pPr>
              <w:spacing w:line="20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restart"/>
            <w:vAlign w:val="center"/>
          </w:tcPr>
          <w:p>
            <w:pPr>
              <w:pageBreakBefore/>
              <w:jc w:val="center"/>
              <w:rPr>
                <w:rFonts w:ascii="宋体" w:hAnsi="宋体"/>
                <w:szCs w:val="21"/>
              </w:rPr>
            </w:pPr>
            <w:r>
              <w:rPr>
                <w:rFonts w:hint="eastAsia" w:ascii="宋体" w:hAnsi="宋体"/>
                <w:szCs w:val="21"/>
              </w:rPr>
              <w:t>等</w:t>
            </w:r>
          </w:p>
          <w:p>
            <w:pPr>
              <w:pageBreakBefore/>
              <w:jc w:val="center"/>
              <w:rPr>
                <w:rFonts w:ascii="宋体" w:hAnsi="宋体"/>
                <w:szCs w:val="21"/>
              </w:rPr>
            </w:pPr>
            <w:r>
              <w:rPr>
                <w:rFonts w:hint="eastAsia" w:ascii="宋体" w:hAnsi="宋体"/>
                <w:szCs w:val="21"/>
              </w:rPr>
              <w:t>级</w:t>
            </w:r>
          </w:p>
          <w:p>
            <w:pPr>
              <w:pageBreakBefore/>
              <w:jc w:val="center"/>
              <w:rPr>
                <w:rFonts w:ascii="宋体" w:hAnsi="宋体"/>
                <w:szCs w:val="21"/>
              </w:rPr>
            </w:pPr>
            <w:r>
              <w:rPr>
                <w:rFonts w:hint="eastAsia" w:ascii="宋体" w:hAnsi="宋体"/>
                <w:szCs w:val="21"/>
              </w:rPr>
              <w:t>划</w:t>
            </w:r>
          </w:p>
          <w:p>
            <w:pPr>
              <w:pageBreakBefore/>
              <w:jc w:val="center"/>
              <w:rPr>
                <w:rFonts w:ascii="宋体" w:hAnsi="宋体"/>
                <w:szCs w:val="21"/>
              </w:rPr>
            </w:pPr>
            <w:r>
              <w:rPr>
                <w:rFonts w:hint="eastAsia" w:ascii="宋体" w:hAnsi="宋体"/>
                <w:szCs w:val="21"/>
              </w:rPr>
              <w:t>分</w:t>
            </w:r>
          </w:p>
          <w:p>
            <w:pPr>
              <w:pageBreakBefore/>
              <w:jc w:val="center"/>
              <w:rPr>
                <w:rFonts w:ascii="宋体" w:hAnsi="宋体"/>
                <w:szCs w:val="21"/>
              </w:rPr>
            </w:pPr>
            <w:r>
              <w:rPr>
                <w:rFonts w:hint="eastAsia" w:ascii="宋体" w:hAnsi="宋体"/>
                <w:szCs w:val="21"/>
              </w:rPr>
              <w:t>条</w:t>
            </w:r>
          </w:p>
          <w:p>
            <w:pPr>
              <w:pageBreakBefore/>
              <w:jc w:val="center"/>
              <w:rPr>
                <w:rFonts w:ascii="宋体" w:hAnsi="宋体"/>
                <w:szCs w:val="21"/>
              </w:rPr>
            </w:pPr>
            <w:r>
              <w:rPr>
                <w:rFonts w:hint="eastAsia" w:ascii="宋体" w:hAnsi="宋体"/>
                <w:szCs w:val="21"/>
              </w:rPr>
              <w:t>件</w:t>
            </w:r>
          </w:p>
          <w:p>
            <w:pPr>
              <w:pageBreakBefore/>
              <w:jc w:val="center"/>
              <w:rPr>
                <w:rFonts w:ascii="宋体" w:hAnsi="宋体"/>
                <w:szCs w:val="21"/>
              </w:rPr>
            </w:pPr>
            <w:r>
              <w:rPr>
                <w:rFonts w:hint="eastAsia" w:ascii="宋体" w:hAnsi="宋体"/>
                <w:spacing w:val="-20"/>
                <w:sz w:val="20"/>
                <w:szCs w:val="20"/>
              </w:rPr>
              <w:t>（75分）</w:t>
            </w:r>
          </w:p>
        </w:tc>
        <w:tc>
          <w:tcPr>
            <w:tcW w:w="1074" w:type="dxa"/>
            <w:vMerge w:val="restart"/>
            <w:vAlign w:val="center"/>
          </w:tcPr>
          <w:p>
            <w:pPr>
              <w:pageBreakBefore/>
              <w:jc w:val="center"/>
              <w:rPr>
                <w:rFonts w:ascii="宋体" w:hAnsi="宋体"/>
                <w:szCs w:val="21"/>
              </w:rPr>
            </w:pPr>
            <w:r>
              <w:rPr>
                <w:rFonts w:hint="eastAsia" w:ascii="宋体" w:hAnsi="宋体"/>
                <w:szCs w:val="21"/>
              </w:rPr>
              <w:t>运</w:t>
            </w:r>
          </w:p>
          <w:p>
            <w:pPr>
              <w:pageBreakBefore/>
              <w:jc w:val="center"/>
              <w:rPr>
                <w:rFonts w:ascii="宋体" w:hAnsi="宋体"/>
                <w:szCs w:val="21"/>
              </w:rPr>
            </w:pPr>
            <w:r>
              <w:rPr>
                <w:rFonts w:hint="eastAsia" w:ascii="宋体" w:hAnsi="宋体"/>
                <w:szCs w:val="21"/>
              </w:rPr>
              <w:t>营</w:t>
            </w:r>
          </w:p>
          <w:p>
            <w:pPr>
              <w:pageBreakBefore/>
              <w:jc w:val="center"/>
              <w:rPr>
                <w:rFonts w:ascii="宋体" w:hAnsi="宋体"/>
                <w:szCs w:val="21"/>
              </w:rPr>
            </w:pPr>
            <w:r>
              <w:rPr>
                <w:rFonts w:hint="eastAsia" w:ascii="宋体" w:hAnsi="宋体"/>
                <w:szCs w:val="21"/>
              </w:rPr>
              <w:t>质</w:t>
            </w:r>
          </w:p>
          <w:p>
            <w:pPr>
              <w:pageBreakBefore/>
              <w:jc w:val="center"/>
              <w:rPr>
                <w:rFonts w:ascii="宋体" w:hAnsi="宋体"/>
                <w:szCs w:val="21"/>
              </w:rPr>
            </w:pPr>
            <w:r>
              <w:rPr>
                <w:rFonts w:hint="eastAsia" w:ascii="宋体" w:hAnsi="宋体"/>
                <w:szCs w:val="21"/>
              </w:rPr>
              <w:t>量</w:t>
            </w:r>
          </w:p>
          <w:p>
            <w:pPr>
              <w:pageBreakBefore/>
              <w:jc w:val="center"/>
              <w:rPr>
                <w:rFonts w:ascii="宋体" w:hAnsi="宋体"/>
                <w:szCs w:val="21"/>
              </w:rPr>
            </w:pPr>
            <w:r>
              <w:rPr>
                <w:rFonts w:hint="eastAsia" w:ascii="宋体" w:hAnsi="宋体"/>
                <w:sz w:val="20"/>
                <w:szCs w:val="20"/>
              </w:rPr>
              <w:t>（28分）</w:t>
            </w:r>
          </w:p>
        </w:tc>
        <w:tc>
          <w:tcPr>
            <w:tcW w:w="6465" w:type="dxa"/>
            <w:vAlign w:val="center"/>
          </w:tcPr>
          <w:p>
            <w:pPr>
              <w:pageBreakBefore/>
              <w:spacing w:line="220" w:lineRule="exact"/>
              <w:rPr>
                <w:rFonts w:ascii="宋体" w:hAnsi="宋体"/>
                <w:kern w:val="0"/>
                <w:sz w:val="20"/>
                <w:szCs w:val="20"/>
              </w:rPr>
            </w:pPr>
            <w:r>
              <w:rPr>
                <w:rFonts w:hint="eastAsia" w:ascii="宋体" w:hAnsi="宋体"/>
                <w:sz w:val="20"/>
                <w:szCs w:val="20"/>
              </w:rPr>
              <w:t>年度实际运营不少于</w:t>
            </w:r>
            <w:r>
              <w:rPr>
                <w:rFonts w:ascii="宋体" w:hAnsi="宋体"/>
                <w:sz w:val="20"/>
                <w:szCs w:val="20"/>
              </w:rPr>
              <w:t>250</w:t>
            </w:r>
            <w:r>
              <w:rPr>
                <w:rFonts w:hint="eastAsia" w:ascii="宋体" w:hAnsi="宋体"/>
                <w:sz w:val="20"/>
                <w:szCs w:val="20"/>
              </w:rPr>
              <w:t xml:space="preserve"> d，每日开放时间不少于</w:t>
            </w:r>
            <w:r>
              <w:rPr>
                <w:rFonts w:ascii="宋体" w:hAnsi="宋体"/>
                <w:sz w:val="20"/>
                <w:szCs w:val="20"/>
              </w:rPr>
              <w:t>6</w:t>
            </w:r>
            <w:r>
              <w:rPr>
                <w:rFonts w:hint="eastAsia" w:ascii="宋体" w:hAnsi="宋体"/>
                <w:sz w:val="20"/>
                <w:szCs w:val="20"/>
              </w:rPr>
              <w:t xml:space="preserve"> h</w:t>
            </w:r>
          </w:p>
        </w:tc>
        <w:tc>
          <w:tcPr>
            <w:tcW w:w="645" w:type="dxa"/>
            <w:vAlign w:val="center"/>
          </w:tcPr>
          <w:p>
            <w:pPr>
              <w:pageBreakBefore/>
              <w:spacing w:line="220" w:lineRule="exact"/>
              <w:jc w:val="center"/>
              <w:rPr>
                <w:rFonts w:ascii="宋体" w:hAnsi="宋体"/>
                <w:kern w:val="0"/>
                <w:sz w:val="20"/>
                <w:szCs w:val="20"/>
              </w:rPr>
            </w:pPr>
            <w:r>
              <w:rPr>
                <w:rFonts w:ascii="宋体" w:hAnsi="宋体"/>
                <w:kern w:val="0"/>
                <w:sz w:val="20"/>
                <w:szCs w:val="20"/>
              </w:rPr>
              <w:t>3</w:t>
            </w:r>
          </w:p>
        </w:tc>
        <w:tc>
          <w:tcPr>
            <w:tcW w:w="660" w:type="dxa"/>
            <w:vMerge w:val="restart"/>
            <w:vAlign w:val="center"/>
          </w:tcPr>
          <w:p>
            <w:pPr>
              <w:pageBreakBefore/>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年度实际运营不低于220 d，</w:t>
            </w:r>
            <w:r>
              <w:rPr>
                <w:rFonts w:hint="eastAsia" w:ascii="宋体" w:hAnsi="宋体"/>
                <w:sz w:val="20"/>
                <w:szCs w:val="20"/>
              </w:rPr>
              <w:t>每日开放时间不少于5 h</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年度实际运营不低于200 d，</w:t>
            </w:r>
            <w:r>
              <w:rPr>
                <w:rFonts w:hint="eastAsia" w:ascii="宋体" w:hAnsi="宋体"/>
                <w:sz w:val="20"/>
                <w:szCs w:val="20"/>
              </w:rPr>
              <w:t>每日开放时间不少于4 h</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年度运营经费不少于</w:t>
            </w:r>
            <w:r>
              <w:rPr>
                <w:rFonts w:ascii="宋体" w:hAnsi="宋体"/>
                <w:sz w:val="20"/>
                <w:szCs w:val="20"/>
              </w:rPr>
              <w:t>2</w:t>
            </w:r>
            <w:r>
              <w:rPr>
                <w:rFonts w:hint="eastAsia" w:ascii="宋体" w:hAnsi="宋体"/>
                <w:sz w:val="20"/>
                <w:szCs w:val="20"/>
              </w:rPr>
              <w:t>万元</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年度运营经费不少于1万元</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年度运营经费不少于0.5万元</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管理服务人员不少于</w:t>
            </w:r>
            <w:r>
              <w:rPr>
                <w:rFonts w:ascii="宋体" w:hAnsi="宋体"/>
                <w:sz w:val="20"/>
                <w:szCs w:val="20"/>
              </w:rPr>
              <w:t>2</w:t>
            </w:r>
            <w:r>
              <w:rPr>
                <w:rFonts w:hint="eastAsia" w:ascii="宋体" w:hAnsi="宋体"/>
                <w:sz w:val="20"/>
                <w:szCs w:val="20"/>
              </w:rPr>
              <w:t>人，其中专职助老员不少于</w:t>
            </w:r>
            <w:r>
              <w:rPr>
                <w:rFonts w:ascii="宋体" w:hAnsi="宋体"/>
                <w:sz w:val="20"/>
                <w:szCs w:val="20"/>
              </w:rPr>
              <w:t>1</w:t>
            </w:r>
            <w:r>
              <w:rPr>
                <w:rFonts w:hint="eastAsia" w:ascii="宋体" w:hAnsi="宋体"/>
                <w:sz w:val="20"/>
                <w:szCs w:val="20"/>
              </w:rPr>
              <w:t>人，社区（村）党支部有专人负责运营管理工作</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配备专职助老员，社区（村）党支部有专人负责运营管理工作</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设立党员互助小组</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长期志愿服务人员不少于</w:t>
            </w:r>
            <w:r>
              <w:rPr>
                <w:rFonts w:ascii="宋体" w:hAnsi="宋体"/>
                <w:sz w:val="20"/>
                <w:szCs w:val="20"/>
              </w:rPr>
              <w:t>5</w:t>
            </w:r>
            <w:r>
              <w:rPr>
                <w:rFonts w:hint="eastAsia" w:ascii="宋体" w:hAnsi="宋体"/>
                <w:sz w:val="20"/>
                <w:szCs w:val="20"/>
              </w:rPr>
              <w:t>人，年度开展大型志愿服务活动不少于</w:t>
            </w:r>
            <w:r>
              <w:rPr>
                <w:rFonts w:ascii="宋体" w:hAnsi="宋体"/>
                <w:sz w:val="20"/>
                <w:szCs w:val="20"/>
              </w:rPr>
              <w:t>6</w:t>
            </w:r>
            <w:r>
              <w:rPr>
                <w:rFonts w:hint="eastAsia" w:ascii="宋体" w:hAnsi="宋体"/>
                <w:sz w:val="20"/>
                <w:szCs w:val="20"/>
              </w:rPr>
              <w:t>次</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4</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4"/>
                <w:kern w:val="0"/>
                <w:sz w:val="20"/>
                <w:szCs w:val="20"/>
              </w:rPr>
            </w:pPr>
            <w:r>
              <w:rPr>
                <w:rFonts w:ascii="宋体" w:hAnsi="宋体"/>
                <w:spacing w:val="-4"/>
                <w:kern w:val="0"/>
                <w:sz w:val="20"/>
                <w:szCs w:val="20"/>
              </w:rPr>
              <w:t>有长期志愿服务人员，年度开展大型志愿服务活动不少于</w:t>
            </w:r>
            <w:r>
              <w:rPr>
                <w:rFonts w:hint="eastAsia" w:ascii="宋体" w:hAnsi="宋体"/>
                <w:spacing w:val="-4"/>
                <w:kern w:val="0"/>
                <w:sz w:val="20"/>
                <w:szCs w:val="20"/>
              </w:rPr>
              <w:t>3</w:t>
            </w:r>
            <w:r>
              <w:rPr>
                <w:rFonts w:ascii="宋体" w:hAnsi="宋体"/>
                <w:spacing w:val="-4"/>
                <w:kern w:val="0"/>
                <w:sz w:val="20"/>
                <w:szCs w:val="20"/>
              </w:rPr>
              <w:t>次</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6"/>
                <w:kern w:val="0"/>
                <w:sz w:val="20"/>
                <w:szCs w:val="20"/>
              </w:rPr>
            </w:pPr>
            <w:r>
              <w:rPr>
                <w:rFonts w:hint="eastAsia" w:ascii="宋体" w:hAnsi="宋体"/>
                <w:spacing w:val="-6"/>
                <w:sz w:val="20"/>
                <w:szCs w:val="20"/>
              </w:rPr>
              <w:t>提</w:t>
            </w:r>
            <w:r>
              <w:rPr>
                <w:rFonts w:hint="eastAsia" w:ascii="宋体" w:hAnsi="宋体"/>
                <w:spacing w:val="-11"/>
                <w:sz w:val="20"/>
                <w:szCs w:val="20"/>
              </w:rPr>
              <w:t>供午餐和晚餐，可保障</w:t>
            </w:r>
            <w:r>
              <w:rPr>
                <w:rFonts w:ascii="宋体" w:hAnsi="宋体"/>
                <w:spacing w:val="-11"/>
                <w:sz w:val="20"/>
                <w:szCs w:val="20"/>
              </w:rPr>
              <w:t>20</w:t>
            </w:r>
            <w:r>
              <w:rPr>
                <w:rFonts w:hint="eastAsia" w:ascii="宋体" w:hAnsi="宋体"/>
                <w:spacing w:val="-11"/>
                <w:sz w:val="20"/>
                <w:szCs w:val="20"/>
              </w:rPr>
              <w:t>人同时用餐，所提供饮食符合老年人健康、营养需求</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5</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提供</w:t>
            </w:r>
            <w:r>
              <w:rPr>
                <w:rFonts w:ascii="宋体" w:hAnsi="宋体"/>
                <w:spacing w:val="-11"/>
                <w:kern w:val="0"/>
                <w:sz w:val="20"/>
                <w:szCs w:val="20"/>
              </w:rPr>
              <w:t>午餐，可保障10人同时用餐，所提供饮食符合老年人健康、营养需求</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3</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开展助老服务，每周不少于</w:t>
            </w:r>
            <w:r>
              <w:rPr>
                <w:rFonts w:ascii="宋体" w:hAnsi="宋体"/>
                <w:sz w:val="20"/>
                <w:szCs w:val="20"/>
              </w:rPr>
              <w:t>2</w:t>
            </w:r>
            <w:r>
              <w:rPr>
                <w:rFonts w:hint="eastAsia" w:ascii="宋体" w:hAnsi="宋体"/>
                <w:sz w:val="20"/>
                <w:szCs w:val="20"/>
              </w:rPr>
              <w:t>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开展助老服务，每周不少于1次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开展老年教育与咨询服务，每年举办知识讲座不少于</w:t>
            </w:r>
            <w:r>
              <w:rPr>
                <w:rFonts w:ascii="宋体" w:hAnsi="宋体"/>
                <w:sz w:val="20"/>
                <w:szCs w:val="20"/>
              </w:rPr>
              <w:t>4</w:t>
            </w:r>
            <w:r>
              <w:rPr>
                <w:rFonts w:hint="eastAsia" w:ascii="宋体" w:hAnsi="宋体"/>
                <w:sz w:val="20"/>
                <w:szCs w:val="20"/>
              </w:rPr>
              <w:t>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开展老年教育与咨询服务，每年举办知识讲座不少于2次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开展老年教育与咨询服务，每年举办知识讲座不少于1次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开展巡诊体检服务，每月不少于</w:t>
            </w:r>
            <w:r>
              <w:rPr>
                <w:rFonts w:ascii="宋体" w:hAnsi="宋体"/>
                <w:sz w:val="20"/>
                <w:szCs w:val="20"/>
              </w:rPr>
              <w:t>2</w:t>
            </w:r>
            <w:r>
              <w:rPr>
                <w:rFonts w:hint="eastAsia" w:ascii="宋体" w:hAnsi="宋体"/>
                <w:sz w:val="20"/>
                <w:szCs w:val="20"/>
              </w:rPr>
              <w:t>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开展巡诊体检服务，每月不少于1次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开展巡诊体检服务，每季度不少于1次</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文</w:t>
            </w:r>
          </w:p>
          <w:p>
            <w:pPr>
              <w:jc w:val="center"/>
              <w:rPr>
                <w:rFonts w:ascii="宋体" w:hAnsi="宋体"/>
                <w:szCs w:val="21"/>
              </w:rPr>
            </w:pPr>
            <w:r>
              <w:rPr>
                <w:rFonts w:hint="eastAsia" w:ascii="宋体" w:hAnsi="宋体"/>
                <w:szCs w:val="21"/>
              </w:rPr>
              <w:t>娱</w:t>
            </w:r>
          </w:p>
          <w:p>
            <w:pPr>
              <w:jc w:val="center"/>
              <w:rPr>
                <w:rFonts w:ascii="宋体" w:hAnsi="宋体"/>
                <w:szCs w:val="21"/>
              </w:rPr>
            </w:pPr>
            <w:r>
              <w:rPr>
                <w:rFonts w:hint="eastAsia" w:ascii="宋体" w:hAnsi="宋体"/>
                <w:szCs w:val="21"/>
              </w:rPr>
              <w:t>健</w:t>
            </w:r>
          </w:p>
          <w:p>
            <w:pPr>
              <w:jc w:val="center"/>
              <w:rPr>
                <w:rFonts w:ascii="宋体" w:hAnsi="宋体"/>
                <w:szCs w:val="21"/>
              </w:rPr>
            </w:pPr>
            <w:r>
              <w:rPr>
                <w:rFonts w:hint="eastAsia" w:ascii="宋体" w:hAnsi="宋体"/>
                <w:szCs w:val="21"/>
              </w:rPr>
              <w:t>身</w:t>
            </w:r>
          </w:p>
          <w:p>
            <w:pPr>
              <w:jc w:val="center"/>
              <w:rPr>
                <w:rFonts w:ascii="宋体" w:hAnsi="宋体"/>
                <w:szCs w:val="21"/>
              </w:rPr>
            </w:pPr>
            <w:r>
              <w:rPr>
                <w:rFonts w:hint="eastAsia" w:ascii="宋体" w:hAnsi="宋体"/>
                <w:szCs w:val="21"/>
              </w:rPr>
              <w:t>服</w:t>
            </w:r>
          </w:p>
          <w:p>
            <w:pPr>
              <w:jc w:val="center"/>
              <w:rPr>
                <w:rFonts w:ascii="宋体" w:hAnsi="宋体"/>
                <w:szCs w:val="21"/>
              </w:rPr>
            </w:pPr>
            <w:r>
              <w:rPr>
                <w:rFonts w:hint="eastAsia" w:ascii="宋体" w:hAnsi="宋体"/>
                <w:szCs w:val="21"/>
              </w:rPr>
              <w:t>务</w:t>
            </w:r>
          </w:p>
          <w:p>
            <w:pPr>
              <w:jc w:val="center"/>
              <w:rPr>
                <w:rFonts w:ascii="宋体" w:hAnsi="宋体"/>
                <w:szCs w:val="21"/>
              </w:rPr>
            </w:pPr>
            <w:r>
              <w:rPr>
                <w:rFonts w:hint="eastAsia" w:ascii="宋体" w:hAnsi="宋体"/>
                <w:szCs w:val="21"/>
              </w:rPr>
              <w:t>质</w:t>
            </w:r>
          </w:p>
          <w:p>
            <w:pPr>
              <w:jc w:val="center"/>
              <w:rPr>
                <w:rFonts w:ascii="宋体" w:hAnsi="宋体"/>
                <w:szCs w:val="21"/>
              </w:rPr>
            </w:pPr>
            <w:r>
              <w:rPr>
                <w:rFonts w:hint="eastAsia" w:ascii="宋体" w:hAnsi="宋体"/>
                <w:szCs w:val="21"/>
              </w:rPr>
              <w:t>量</w:t>
            </w:r>
          </w:p>
          <w:p>
            <w:pPr>
              <w:jc w:val="center"/>
              <w:rPr>
                <w:rFonts w:ascii="宋体" w:hAnsi="宋体"/>
                <w:szCs w:val="21"/>
              </w:rPr>
            </w:pPr>
            <w:r>
              <w:rPr>
                <w:rFonts w:hint="eastAsia" w:ascii="宋体" w:hAnsi="宋体"/>
                <w:sz w:val="20"/>
                <w:szCs w:val="20"/>
              </w:rPr>
              <w:t>（14分）</w:t>
            </w:r>
          </w:p>
        </w:tc>
        <w:tc>
          <w:tcPr>
            <w:tcW w:w="6465" w:type="dxa"/>
            <w:vAlign w:val="center"/>
          </w:tcPr>
          <w:p>
            <w:pPr>
              <w:spacing w:line="220" w:lineRule="exact"/>
              <w:rPr>
                <w:rFonts w:ascii="宋体" w:hAnsi="宋体"/>
                <w:kern w:val="0"/>
                <w:sz w:val="20"/>
                <w:szCs w:val="20"/>
              </w:rPr>
            </w:pPr>
            <w:r>
              <w:rPr>
                <w:rFonts w:hint="eastAsia" w:ascii="宋体" w:hAnsi="宋体"/>
                <w:sz w:val="20"/>
                <w:szCs w:val="20"/>
              </w:rPr>
              <w:t>棋牌桌不少于</w:t>
            </w:r>
            <w:r>
              <w:rPr>
                <w:rFonts w:ascii="宋体" w:hAnsi="宋体"/>
                <w:sz w:val="20"/>
                <w:szCs w:val="20"/>
              </w:rPr>
              <w:t>4</w:t>
            </w:r>
            <w:r>
              <w:rPr>
                <w:rFonts w:hint="eastAsia" w:ascii="宋体" w:hAnsi="宋体"/>
                <w:sz w:val="20"/>
                <w:szCs w:val="20"/>
              </w:rPr>
              <w:t>张，棋牌（扑克、象棋、麻将）不少于</w:t>
            </w:r>
            <w:r>
              <w:rPr>
                <w:rFonts w:ascii="宋体" w:hAnsi="宋体"/>
                <w:sz w:val="20"/>
                <w:szCs w:val="20"/>
              </w:rPr>
              <w:t>8</w:t>
            </w:r>
            <w:r>
              <w:rPr>
                <w:rFonts w:hint="eastAsia" w:ascii="宋体" w:hAnsi="宋体"/>
                <w:sz w:val="20"/>
                <w:szCs w:val="20"/>
              </w:rPr>
              <w:t>副</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棋牌桌不少于2张，棋牌（扑克、象棋、麻将）不少于4副</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配备彩色电视机和网络接收系统，尺寸不小于</w:t>
            </w:r>
            <w:r>
              <w:rPr>
                <w:rFonts w:ascii="宋体" w:hAnsi="宋体"/>
                <w:sz w:val="20"/>
                <w:szCs w:val="20"/>
              </w:rPr>
              <w:t>55</w:t>
            </w:r>
            <w:r>
              <w:rPr>
                <w:rFonts w:hint="eastAsia" w:ascii="宋体" w:hAnsi="宋体"/>
                <w:sz w:val="20"/>
                <w:szCs w:val="20"/>
              </w:rPr>
              <w:t xml:space="preserve"> in</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配备彩色电视机和网络接收系统，尺寸不小于42 in</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spacing w:val="-4"/>
                <w:kern w:val="0"/>
                <w:sz w:val="20"/>
                <w:szCs w:val="20"/>
              </w:rPr>
            </w:pPr>
            <w:r>
              <w:rPr>
                <w:rFonts w:hint="eastAsia" w:ascii="宋体" w:hAnsi="宋体"/>
                <w:sz w:val="20"/>
                <w:szCs w:val="20"/>
              </w:rPr>
              <w:t>配备智力和精细动作训练辅具，种类不少于</w:t>
            </w:r>
            <w:r>
              <w:rPr>
                <w:rFonts w:ascii="宋体" w:hAnsi="宋体"/>
                <w:sz w:val="20"/>
                <w:szCs w:val="20"/>
              </w:rPr>
              <w:t>4</w:t>
            </w:r>
            <w:r>
              <w:rPr>
                <w:rFonts w:hint="eastAsia" w:ascii="宋体" w:hAnsi="宋体"/>
                <w:sz w:val="20"/>
                <w:szCs w:val="20"/>
              </w:rPr>
              <w:t>类，可以是积木、组合玩具、穿珠辅具、计数辅具、握力器等</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配备</w:t>
            </w:r>
            <w:r>
              <w:rPr>
                <w:rFonts w:ascii="宋体" w:hAnsi="宋体"/>
                <w:kern w:val="0"/>
                <w:sz w:val="20"/>
                <w:szCs w:val="20"/>
              </w:rPr>
              <w:t>智力和精细动作训练辅具，</w:t>
            </w:r>
            <w:r>
              <w:rPr>
                <w:rFonts w:hint="eastAsia" w:ascii="宋体" w:hAnsi="宋体"/>
                <w:kern w:val="0"/>
                <w:sz w:val="20"/>
                <w:szCs w:val="20"/>
              </w:rPr>
              <w:t>可以是</w:t>
            </w:r>
            <w:r>
              <w:rPr>
                <w:rFonts w:ascii="宋体" w:hAnsi="宋体"/>
                <w:kern w:val="0"/>
                <w:sz w:val="20"/>
                <w:szCs w:val="20"/>
              </w:rPr>
              <w:t>积木</w:t>
            </w:r>
            <w:r>
              <w:rPr>
                <w:rFonts w:hint="eastAsia" w:ascii="宋体" w:hAnsi="宋体"/>
                <w:kern w:val="0"/>
                <w:sz w:val="20"/>
                <w:szCs w:val="20"/>
              </w:rPr>
              <w:t>、</w:t>
            </w:r>
            <w:r>
              <w:rPr>
                <w:rFonts w:ascii="宋体" w:hAnsi="宋体"/>
                <w:kern w:val="0"/>
                <w:sz w:val="20"/>
                <w:szCs w:val="20"/>
              </w:rPr>
              <w:t>穿珠辅具</w:t>
            </w:r>
            <w:r>
              <w:rPr>
                <w:rFonts w:hint="eastAsia" w:ascii="宋体" w:hAnsi="宋体"/>
                <w:kern w:val="0"/>
                <w:sz w:val="20"/>
                <w:szCs w:val="20"/>
              </w:rPr>
              <w:t>、</w:t>
            </w:r>
            <w:r>
              <w:rPr>
                <w:rFonts w:ascii="宋体" w:hAnsi="宋体"/>
                <w:kern w:val="0"/>
                <w:sz w:val="20"/>
                <w:szCs w:val="20"/>
              </w:rPr>
              <w:t>计数辅具</w:t>
            </w:r>
            <w:r>
              <w:rPr>
                <w:rFonts w:hint="eastAsia" w:ascii="宋体" w:hAnsi="宋体"/>
                <w:kern w:val="0"/>
                <w:sz w:val="20"/>
                <w:szCs w:val="20"/>
              </w:rPr>
              <w:t>等</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配备电脑不宜少于</w:t>
            </w:r>
            <w:r>
              <w:rPr>
                <w:rFonts w:ascii="宋体" w:hAnsi="宋体"/>
                <w:sz w:val="20"/>
                <w:szCs w:val="20"/>
              </w:rPr>
              <w:t>2</w:t>
            </w:r>
            <w:r>
              <w:rPr>
                <w:rFonts w:hint="eastAsia" w:ascii="宋体" w:hAnsi="宋体"/>
                <w:sz w:val="20"/>
                <w:szCs w:val="20"/>
              </w:rPr>
              <w:t>台，老年书籍杂志不少于</w:t>
            </w:r>
            <w:r>
              <w:rPr>
                <w:rFonts w:ascii="宋体" w:hAnsi="宋体"/>
                <w:sz w:val="20"/>
                <w:szCs w:val="20"/>
              </w:rPr>
              <w:t>150</w:t>
            </w:r>
            <w:r>
              <w:rPr>
                <w:rFonts w:hint="eastAsia" w:ascii="宋体" w:hAnsi="宋体"/>
                <w:sz w:val="20"/>
                <w:szCs w:val="20"/>
              </w:rPr>
              <w:t>册，报纸不少于</w:t>
            </w:r>
            <w:r>
              <w:rPr>
                <w:rFonts w:ascii="宋体" w:hAnsi="宋体"/>
                <w:sz w:val="20"/>
                <w:szCs w:val="20"/>
              </w:rPr>
              <w:t>2</w:t>
            </w:r>
            <w:r>
              <w:rPr>
                <w:rFonts w:hint="eastAsia" w:ascii="宋体" w:hAnsi="宋体"/>
                <w:sz w:val="20"/>
                <w:szCs w:val="20"/>
              </w:rPr>
              <w:t>种</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配备电脑，老年书籍杂志不少于</w:t>
            </w:r>
            <w:r>
              <w:rPr>
                <w:rFonts w:hint="eastAsia" w:ascii="宋体" w:hAnsi="宋体"/>
                <w:kern w:val="0"/>
                <w:sz w:val="20"/>
                <w:szCs w:val="20"/>
              </w:rPr>
              <w:t>50</w:t>
            </w:r>
            <w:r>
              <w:rPr>
                <w:rFonts w:ascii="宋体" w:hAnsi="宋体"/>
                <w:kern w:val="0"/>
                <w:sz w:val="20"/>
                <w:szCs w:val="20"/>
              </w:rPr>
              <w:t>册</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配备光纤和无线wifi</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配备助视、固定辅具，可以是助视仪、阅读器、书固定夹等</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配备书法、绘画用品，手工制作用品用具</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活动场所有休憩的椅凳</w:t>
            </w:r>
          </w:p>
        </w:tc>
        <w:tc>
          <w:tcPr>
            <w:tcW w:w="645" w:type="dxa"/>
            <w:vAlign w:val="center"/>
          </w:tcPr>
          <w:p>
            <w:pPr>
              <w:spacing w:line="220" w:lineRule="exact"/>
              <w:jc w:val="center"/>
              <w:rPr>
                <w:rFonts w:ascii="宋体" w:hAnsi="宋体"/>
                <w:kern w:val="0"/>
                <w:sz w:val="20"/>
                <w:szCs w:val="20"/>
              </w:rPr>
            </w:pPr>
            <w:r>
              <w:rPr>
                <w:rFonts w:ascii="宋体" w:hAnsi="宋体"/>
                <w:kern w:val="0"/>
                <w:sz w:val="20"/>
                <w:szCs w:val="20"/>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配备老年健身、保健器材，种类不少于</w:t>
            </w:r>
            <w:r>
              <w:rPr>
                <w:rFonts w:ascii="宋体" w:hAnsi="宋体"/>
                <w:sz w:val="20"/>
                <w:szCs w:val="20"/>
              </w:rPr>
              <w:t>3</w:t>
            </w:r>
            <w:r>
              <w:rPr>
                <w:rFonts w:hint="eastAsia" w:ascii="宋体" w:hAnsi="宋体"/>
                <w:sz w:val="20"/>
                <w:szCs w:val="20"/>
              </w:rPr>
              <w:t>类，可以是乒乓球桌、台球桌、功率自行车、柔性踏步器、按摩椅等</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配备老年健身、保健器材，可以是台球桌、功率自行车等</w:t>
            </w:r>
          </w:p>
        </w:tc>
        <w:tc>
          <w:tcPr>
            <w:tcW w:w="645" w:type="dxa"/>
            <w:vAlign w:val="center"/>
          </w:tcPr>
          <w:p>
            <w:pPr>
              <w:spacing w:line="220" w:lineRule="exact"/>
              <w:jc w:val="center"/>
              <w:rPr>
                <w:rFonts w:ascii="宋体" w:hAnsi="宋体"/>
                <w:kern w:val="0"/>
                <w:sz w:val="20"/>
                <w:szCs w:val="20"/>
              </w:rPr>
            </w:pPr>
            <w:r>
              <w:rPr>
                <w:rFonts w:hint="eastAsia" w:ascii="宋体" w:hAnsi="宋体"/>
                <w:kern w:val="0"/>
                <w:sz w:val="20"/>
                <w:szCs w:val="20"/>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restart"/>
            <w:vAlign w:val="center"/>
          </w:tcPr>
          <w:p>
            <w:pPr>
              <w:jc w:val="center"/>
              <w:rPr>
                <w:rFonts w:ascii="宋体" w:hAnsi="宋体"/>
                <w:szCs w:val="21"/>
              </w:rPr>
            </w:pPr>
            <w:r>
              <w:rPr>
                <w:rFonts w:hint="eastAsia" w:ascii="宋体" w:hAnsi="宋体"/>
                <w:szCs w:val="21"/>
              </w:rPr>
              <w:t>生</w:t>
            </w:r>
          </w:p>
          <w:p>
            <w:pPr>
              <w:jc w:val="center"/>
              <w:rPr>
                <w:rFonts w:ascii="宋体" w:hAnsi="宋体"/>
                <w:szCs w:val="21"/>
              </w:rPr>
            </w:pPr>
            <w:r>
              <w:rPr>
                <w:rFonts w:hint="eastAsia" w:ascii="宋体" w:hAnsi="宋体"/>
                <w:szCs w:val="21"/>
              </w:rPr>
              <w:t>活</w:t>
            </w:r>
          </w:p>
          <w:p>
            <w:pPr>
              <w:jc w:val="center"/>
              <w:rPr>
                <w:rFonts w:ascii="宋体" w:hAnsi="宋体"/>
                <w:szCs w:val="21"/>
              </w:rPr>
            </w:pPr>
            <w:r>
              <w:rPr>
                <w:rFonts w:hint="eastAsia" w:ascii="宋体" w:hAnsi="宋体"/>
                <w:szCs w:val="21"/>
              </w:rPr>
              <w:t>服</w:t>
            </w:r>
          </w:p>
          <w:p>
            <w:pPr>
              <w:jc w:val="center"/>
              <w:rPr>
                <w:rFonts w:ascii="宋体" w:hAnsi="宋体"/>
                <w:szCs w:val="21"/>
              </w:rPr>
            </w:pPr>
            <w:r>
              <w:rPr>
                <w:rFonts w:hint="eastAsia" w:ascii="宋体" w:hAnsi="宋体"/>
                <w:szCs w:val="21"/>
              </w:rPr>
              <w:t>务</w:t>
            </w:r>
          </w:p>
          <w:p>
            <w:pPr>
              <w:jc w:val="center"/>
              <w:rPr>
                <w:rFonts w:ascii="宋体" w:hAnsi="宋体"/>
                <w:szCs w:val="21"/>
              </w:rPr>
            </w:pPr>
            <w:r>
              <w:rPr>
                <w:rFonts w:hint="eastAsia" w:ascii="宋体" w:hAnsi="宋体"/>
                <w:szCs w:val="21"/>
              </w:rPr>
              <w:t>质</w:t>
            </w:r>
          </w:p>
          <w:p>
            <w:pPr>
              <w:jc w:val="center"/>
              <w:rPr>
                <w:rFonts w:ascii="宋体" w:hAnsi="宋体"/>
                <w:szCs w:val="21"/>
              </w:rPr>
            </w:pPr>
            <w:r>
              <w:rPr>
                <w:rFonts w:hint="eastAsia" w:ascii="宋体" w:hAnsi="宋体"/>
                <w:szCs w:val="21"/>
              </w:rPr>
              <w:t>量</w:t>
            </w:r>
          </w:p>
          <w:p>
            <w:pPr>
              <w:jc w:val="center"/>
              <w:rPr>
                <w:rFonts w:ascii="宋体" w:hAnsi="宋体"/>
                <w:szCs w:val="21"/>
              </w:rPr>
            </w:pPr>
            <w:r>
              <w:rPr>
                <w:rFonts w:hint="eastAsia" w:ascii="宋体" w:hAnsi="宋体"/>
                <w:sz w:val="20"/>
                <w:szCs w:val="20"/>
              </w:rPr>
              <w:t>（13分）</w:t>
            </w:r>
          </w:p>
        </w:tc>
        <w:tc>
          <w:tcPr>
            <w:tcW w:w="6465" w:type="dxa"/>
            <w:vAlign w:val="center"/>
          </w:tcPr>
          <w:p>
            <w:pPr>
              <w:spacing w:line="220" w:lineRule="exact"/>
              <w:rPr>
                <w:rFonts w:ascii="宋体" w:hAnsi="宋体"/>
                <w:kern w:val="0"/>
                <w:sz w:val="20"/>
                <w:szCs w:val="20"/>
              </w:rPr>
            </w:pPr>
            <w:r>
              <w:rPr>
                <w:rFonts w:hint="eastAsia" w:ascii="宋体" w:hAnsi="宋体"/>
                <w:sz w:val="20"/>
                <w:szCs w:val="20"/>
              </w:rPr>
              <w:t>休息位不少于</w:t>
            </w:r>
            <w:r>
              <w:rPr>
                <w:rFonts w:ascii="宋体" w:hAnsi="宋体"/>
                <w:sz w:val="20"/>
                <w:szCs w:val="20"/>
              </w:rPr>
              <w:t>10</w:t>
            </w:r>
            <w:r>
              <w:rPr>
                <w:rFonts w:hint="eastAsia" w:ascii="宋体" w:hAnsi="宋体"/>
                <w:sz w:val="20"/>
                <w:szCs w:val="20"/>
              </w:rPr>
              <w:t>张（套）</w:t>
            </w:r>
          </w:p>
        </w:tc>
        <w:tc>
          <w:tcPr>
            <w:tcW w:w="645" w:type="dxa"/>
            <w:vAlign w:val="center"/>
          </w:tcPr>
          <w:p>
            <w:pPr>
              <w:spacing w:line="240" w:lineRule="exact"/>
              <w:jc w:val="center"/>
              <w:rPr>
                <w:rFonts w:ascii="宋体" w:hAnsi="宋体"/>
                <w:kern w:val="0"/>
                <w:szCs w:val="21"/>
              </w:rPr>
            </w:pPr>
            <w:r>
              <w:rPr>
                <w:rFonts w:ascii="宋体" w:hAnsi="宋体"/>
                <w:kern w:val="0"/>
                <w:szCs w:val="21"/>
              </w:rPr>
              <w:t>3</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休息位不少于5张（套）</w:t>
            </w:r>
          </w:p>
        </w:tc>
        <w:tc>
          <w:tcPr>
            <w:tcW w:w="645" w:type="dxa"/>
            <w:vAlign w:val="center"/>
          </w:tcPr>
          <w:p>
            <w:pPr>
              <w:spacing w:line="240" w:lineRule="exact"/>
              <w:jc w:val="center"/>
              <w:rPr>
                <w:rFonts w:ascii="宋体" w:hAnsi="宋体"/>
                <w:kern w:val="0"/>
                <w:szCs w:val="21"/>
              </w:rPr>
            </w:pPr>
            <w:r>
              <w:rPr>
                <w:rFonts w:ascii="宋体" w:hAnsi="宋体"/>
                <w:kern w:val="0"/>
                <w:szCs w:val="21"/>
              </w:rPr>
              <w:t>2</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休息位不少于3张（套）</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备餐间地面作防滑处理</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配备操作台、洗涤池、安全灶具，排风、排烟设备</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配备冷藏设备、留样柜、饮水供应设备</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配备消毒柜、碗柜、餐具，有洗碗池、厨余垃圾收集用具</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分别设置男女卫生间</w:t>
            </w:r>
          </w:p>
        </w:tc>
        <w:tc>
          <w:tcPr>
            <w:tcW w:w="645" w:type="dxa"/>
            <w:vAlign w:val="center"/>
          </w:tcPr>
          <w:p>
            <w:pPr>
              <w:spacing w:line="240" w:lineRule="exact"/>
              <w:jc w:val="center"/>
              <w:rPr>
                <w:rFonts w:ascii="宋体" w:hAnsi="宋体"/>
                <w:kern w:val="0"/>
                <w:szCs w:val="21"/>
              </w:rPr>
            </w:pPr>
            <w:r>
              <w:rPr>
                <w:rFonts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ascii="宋体" w:hAnsi="宋体"/>
                <w:kern w:val="0"/>
                <w:sz w:val="20"/>
                <w:szCs w:val="20"/>
              </w:rPr>
              <w:t>设置卫生间</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卫生间配备排气扇，设置便器、洗手盆，蹲式厕位配坐便椅</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卫生间有安全扶手，配齐墙面镜、卫生纸、托架、污物桶等必备用品</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sz w:val="20"/>
                <w:szCs w:val="20"/>
              </w:rPr>
              <w:t>配备框式助行器、四脚拐不少于</w:t>
            </w:r>
            <w:r>
              <w:rPr>
                <w:rFonts w:ascii="宋体" w:hAnsi="宋体"/>
                <w:sz w:val="20"/>
                <w:szCs w:val="20"/>
              </w:rPr>
              <w:t>2</w:t>
            </w:r>
            <w:r>
              <w:rPr>
                <w:rFonts w:hint="eastAsia" w:ascii="宋体" w:hAnsi="宋体"/>
                <w:sz w:val="20"/>
                <w:szCs w:val="20"/>
              </w:rPr>
              <w:t>副，配备拐杖不少于</w:t>
            </w:r>
            <w:r>
              <w:rPr>
                <w:rFonts w:ascii="宋体" w:hAnsi="宋体"/>
                <w:sz w:val="20"/>
                <w:szCs w:val="20"/>
              </w:rPr>
              <w:t>2</w:t>
            </w:r>
            <w:r>
              <w:rPr>
                <w:rFonts w:hint="eastAsia" w:ascii="宋体" w:hAnsi="宋体"/>
                <w:sz w:val="20"/>
                <w:szCs w:val="20"/>
              </w:rPr>
              <w:t>副</w:t>
            </w:r>
          </w:p>
        </w:tc>
        <w:tc>
          <w:tcPr>
            <w:tcW w:w="645" w:type="dxa"/>
            <w:vAlign w:val="center"/>
          </w:tcPr>
          <w:p>
            <w:pPr>
              <w:spacing w:line="240" w:lineRule="exact"/>
              <w:jc w:val="center"/>
              <w:rPr>
                <w:rFonts w:ascii="宋体" w:hAnsi="宋体"/>
                <w:kern w:val="0"/>
                <w:szCs w:val="21"/>
              </w:rPr>
            </w:pPr>
            <w:r>
              <w:rPr>
                <w:rFonts w:ascii="宋体" w:hAnsi="宋体"/>
                <w:kern w:val="0"/>
                <w:szCs w:val="21"/>
              </w:rPr>
              <w:t>2</w:t>
            </w:r>
          </w:p>
        </w:tc>
        <w:tc>
          <w:tcPr>
            <w:tcW w:w="660" w:type="dxa"/>
            <w:vMerge w:val="restart"/>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exact"/>
        </w:trPr>
        <w:tc>
          <w:tcPr>
            <w:tcW w:w="817" w:type="dxa"/>
            <w:vMerge w:val="continue"/>
            <w:vAlign w:val="center"/>
          </w:tcPr>
          <w:p>
            <w:pPr>
              <w:jc w:val="center"/>
              <w:rPr>
                <w:rFonts w:ascii="宋体" w:hAnsi="宋体"/>
                <w:szCs w:val="21"/>
              </w:rPr>
            </w:pPr>
          </w:p>
        </w:tc>
        <w:tc>
          <w:tcPr>
            <w:tcW w:w="1074" w:type="dxa"/>
            <w:vMerge w:val="continue"/>
            <w:vAlign w:val="center"/>
          </w:tcPr>
          <w:p>
            <w:pPr>
              <w:jc w:val="center"/>
              <w:rPr>
                <w:rFonts w:ascii="宋体" w:hAnsi="宋体"/>
                <w:szCs w:val="21"/>
              </w:rPr>
            </w:pPr>
          </w:p>
        </w:tc>
        <w:tc>
          <w:tcPr>
            <w:tcW w:w="6465" w:type="dxa"/>
            <w:vAlign w:val="center"/>
          </w:tcPr>
          <w:p>
            <w:pPr>
              <w:spacing w:line="220" w:lineRule="exact"/>
              <w:rPr>
                <w:rFonts w:ascii="宋体" w:hAnsi="宋体"/>
                <w:kern w:val="0"/>
                <w:sz w:val="20"/>
                <w:szCs w:val="20"/>
              </w:rPr>
            </w:pPr>
            <w:r>
              <w:rPr>
                <w:rFonts w:hint="eastAsia" w:ascii="宋体" w:hAnsi="宋体"/>
                <w:kern w:val="0"/>
                <w:sz w:val="20"/>
                <w:szCs w:val="20"/>
              </w:rPr>
              <w:t>配备拐杖等助行辅具</w:t>
            </w:r>
          </w:p>
        </w:tc>
        <w:tc>
          <w:tcPr>
            <w:tcW w:w="645" w:type="dxa"/>
            <w:vAlign w:val="center"/>
          </w:tcPr>
          <w:p>
            <w:pPr>
              <w:spacing w:line="240" w:lineRule="exact"/>
              <w:jc w:val="center"/>
              <w:rPr>
                <w:rFonts w:ascii="宋体" w:hAnsi="宋体"/>
                <w:kern w:val="0"/>
                <w:szCs w:val="21"/>
              </w:rPr>
            </w:pPr>
            <w:r>
              <w:rPr>
                <w:rFonts w:ascii="宋体" w:hAnsi="宋体"/>
                <w:kern w:val="0"/>
                <w:szCs w:val="21"/>
              </w:rPr>
              <w:t>1</w:t>
            </w:r>
          </w:p>
        </w:tc>
        <w:tc>
          <w:tcPr>
            <w:tcW w:w="660" w:type="dxa"/>
            <w:vMerge w:val="continue"/>
            <w:vAlign w:val="center"/>
          </w:tcPr>
          <w:p>
            <w:pPr>
              <w:spacing w:line="240" w:lineRule="exact"/>
              <w:jc w:val="center"/>
              <w:rPr>
                <w:rFonts w:ascii="宋体" w:hAnsi="宋体"/>
                <w:szCs w:val="21"/>
              </w:rPr>
            </w:pPr>
          </w:p>
        </w:tc>
      </w:tr>
    </w:tbl>
    <w:p>
      <w:pPr>
        <w:pStyle w:val="11"/>
        <w:ind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01"/>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02D1C"/>
    <w:multiLevelType w:val="multilevel"/>
    <w:tmpl w:val="48802D1C"/>
    <w:lvl w:ilvl="0" w:tentative="0">
      <w:start w:val="1"/>
      <w:numFmt w:val="upperLetter"/>
      <w:pStyle w:val="1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603797C"/>
    <w:multiLevelType w:val="multilevel"/>
    <w:tmpl w:val="5603797C"/>
    <w:lvl w:ilvl="0" w:tentative="0">
      <w:start w:val="1"/>
      <w:numFmt w:val="upperLetter"/>
      <w:pStyle w:val="19"/>
      <w:suff w:val="space"/>
      <w:lvlText w:val="%1"/>
      <w:lvlJc w:val="left"/>
      <w:pPr>
        <w:ind w:left="567" w:hanging="425"/>
      </w:pPr>
      <w:rPr>
        <w:rFonts w:hint="eastAsia"/>
      </w:rPr>
    </w:lvl>
    <w:lvl w:ilvl="1" w:tentative="0">
      <w:start w:val="1"/>
      <w:numFmt w:val="decimal"/>
      <w:suff w:val="space"/>
      <w:lvlText w:val="表%1.%2"/>
      <w:lvlJc w:val="center"/>
      <w:pPr>
        <w:ind w:left="0" w:firstLine="0"/>
      </w:pPr>
      <w:rPr>
        <w:rFonts w:hint="default" w:ascii="黑体" w:eastAsia="黑体"/>
        <w:sz w:val="32"/>
        <w:szCs w:val="28"/>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57D3FBC"/>
    <w:multiLevelType w:val="multilevel"/>
    <w:tmpl w:val="657D3FBC"/>
    <w:lvl w:ilvl="0" w:tentative="0">
      <w:start w:val="1"/>
      <w:numFmt w:val="upperLetter"/>
      <w:pStyle w:val="12"/>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default" w:ascii="黑体" w:eastAsia="黑体"/>
        <w:b w:val="0"/>
        <w:i w:val="0"/>
        <w:sz w:val="32"/>
        <w:szCs w:val="28"/>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32"/>
        <w:szCs w:val="28"/>
        <w:u w:val="none"/>
        <w:vertAlign w:val="baseline"/>
      </w:rPr>
    </w:lvl>
    <w:lvl w:ilvl="3" w:tentative="0">
      <w:start w:val="1"/>
      <w:numFmt w:val="decimal"/>
      <w:pStyle w:val="17"/>
      <w:suff w:val="nothing"/>
      <w:lvlText w:val="%1%2.%3.%4　"/>
      <w:lvlJc w:val="left"/>
      <w:pPr>
        <w:ind w:left="0" w:firstLine="0"/>
      </w:pPr>
      <w:rPr>
        <w:rFonts w:hint="default" w:ascii="黑体" w:eastAsia="黑体"/>
        <w:b w:val="0"/>
        <w:i w:val="0"/>
        <w:sz w:val="32"/>
        <w:szCs w:val="28"/>
      </w:rPr>
    </w:lvl>
    <w:lvl w:ilvl="4" w:tentative="0">
      <w:start w:val="1"/>
      <w:numFmt w:val="decimal"/>
      <w:suff w:val="nothing"/>
      <w:lvlText w:val="%1%2.%3.%4.%5　"/>
      <w:lvlJc w:val="left"/>
      <w:pPr>
        <w:ind w:left="0" w:firstLine="0"/>
      </w:pPr>
      <w:rPr>
        <w:rFonts w:hint="default" w:ascii="黑体" w:eastAsia="黑体"/>
        <w:b w:val="0"/>
        <w:i w:val="0"/>
        <w:sz w:val="32"/>
        <w:szCs w:val="28"/>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5D"/>
    <w:rsid w:val="0016395D"/>
    <w:rsid w:val="00267C0C"/>
    <w:rsid w:val="0046058A"/>
    <w:rsid w:val="005162E9"/>
    <w:rsid w:val="00697BFE"/>
    <w:rsid w:val="007F7E01"/>
    <w:rsid w:val="00973A1A"/>
    <w:rsid w:val="00A556EB"/>
    <w:rsid w:val="00C422F8"/>
    <w:rsid w:val="0E0004C9"/>
    <w:rsid w:val="33E408C3"/>
    <w:rsid w:val="57E96B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nhideWhenUsed/>
    <w:qFormat/>
    <w:uiPriority w:val="99"/>
    <w:pPr>
      <w:widowControl/>
      <w:spacing w:before="100" w:beforeAutospacing="1" w:after="100" w:afterAutospacing="1"/>
      <w:jc w:val="left"/>
    </w:pPr>
    <w:rPr>
      <w:rFonts w:ascii="宋体" w:cs="宋体"/>
      <w:color w:val="000000"/>
      <w:kern w:val="0"/>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正文文本缩进 Char"/>
    <w:basedOn w:val="5"/>
    <w:link w:val="2"/>
    <w:qFormat/>
    <w:uiPriority w:val="99"/>
    <w:rPr>
      <w:rFonts w:ascii="宋体" w:hAnsi="Calibri" w:eastAsia="宋体" w:cs="宋体"/>
      <w:color w:val="000000"/>
      <w:kern w:val="0"/>
      <w:sz w:val="24"/>
    </w:rPr>
  </w:style>
  <w:style w:type="paragraph" w:customStyle="1" w:styleId="10">
    <w:name w:val="标准文件_术语条一"/>
    <w:basedOn w:val="1"/>
    <w:next w:val="11"/>
    <w:qFormat/>
    <w:uiPriority w:val="0"/>
    <w:pPr>
      <w:widowControl/>
      <w:spacing w:after="156" w:afterLines="50"/>
    </w:pPr>
    <w:rPr>
      <w:rFonts w:ascii="宋体" w:hAnsi="Times New Roman"/>
      <w:kern w:val="0"/>
      <w:szCs w:val="20"/>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附录标识"/>
    <w:next w:val="11"/>
    <w:qFormat/>
    <w:uiPriority w:val="0"/>
    <w:pPr>
      <w:numPr>
        <w:ilvl w:val="0"/>
        <w:numId w:val="1"/>
      </w:numPr>
      <w:shd w:val="clear" w:color="FFFFFF" w:fill="FFFFFF"/>
      <w:tabs>
        <w:tab w:val="left" w:pos="6406"/>
      </w:tabs>
      <w:spacing w:before="78" w:beforeLines="25" w:after="156" w:afterLines="50"/>
      <w:jc w:val="center"/>
      <w:outlineLvl w:val="0"/>
    </w:pPr>
    <w:rPr>
      <w:rFonts w:ascii="黑体" w:hAnsi="Times New Roman" w:eastAsia="黑体" w:cs="Times New Roman"/>
      <w:sz w:val="21"/>
      <w:lang w:val="en-US" w:eastAsia="zh-CN" w:bidi="ar-SA"/>
    </w:rPr>
  </w:style>
  <w:style w:type="paragraph" w:customStyle="1" w:styleId="13">
    <w:name w:val="标准文件_一级条标题"/>
    <w:basedOn w:val="14"/>
    <w:next w:val="11"/>
    <w:qFormat/>
    <w:uiPriority w:val="0"/>
    <w:pPr>
      <w:spacing w:before="156" w:beforeLines="50" w:after="156" w:afterLines="50"/>
      <w:outlineLvl w:val="1"/>
    </w:pPr>
  </w:style>
  <w:style w:type="paragraph" w:customStyle="1" w:styleId="14">
    <w:name w:val="标准文件_章标题"/>
    <w:next w:val="11"/>
    <w:qFormat/>
    <w:uiPriority w:val="0"/>
    <w:pPr>
      <w:numPr>
        <w:ilvl w:val="1"/>
        <w:numId w:val="2"/>
      </w:numPr>
      <w:spacing w:before="312" w:beforeLines="100" w:after="312" w:afterLines="100"/>
      <w:jc w:val="both"/>
      <w:outlineLvl w:val="0"/>
    </w:pPr>
    <w:rPr>
      <w:rFonts w:ascii="黑体" w:hAnsi="Times New Roman" w:eastAsia="黑体" w:cs="Times New Roman"/>
      <w:sz w:val="21"/>
      <w:lang w:val="en-US" w:eastAsia="zh-CN" w:bidi="ar-SA"/>
    </w:rPr>
  </w:style>
  <w:style w:type="paragraph" w:customStyle="1" w:styleId="15">
    <w:name w:val="标准文件_二级无标题"/>
    <w:basedOn w:val="16"/>
    <w:qFormat/>
    <w:uiPriority w:val="0"/>
    <w:pPr>
      <w:spacing w:before="0" w:beforeLines="0"/>
      <w:outlineLvl w:val="9"/>
    </w:pPr>
    <w:rPr>
      <w:rFonts w:ascii="宋体" w:eastAsia="宋体"/>
    </w:rPr>
  </w:style>
  <w:style w:type="paragraph" w:customStyle="1" w:styleId="16">
    <w:name w:val="标准文件_二级条标题"/>
    <w:next w:val="11"/>
    <w:qFormat/>
    <w:uiPriority w:val="0"/>
    <w:pPr>
      <w:widowControl w:val="0"/>
      <w:spacing w:before="156" w:beforeLines="50" w:after="156" w:afterLines="50"/>
      <w:jc w:val="both"/>
      <w:outlineLvl w:val="2"/>
    </w:pPr>
    <w:rPr>
      <w:rFonts w:ascii="黑体" w:hAnsi="Times New Roman" w:eastAsia="黑体" w:cs="Times New Roman"/>
      <w:sz w:val="21"/>
      <w:lang w:val="en-US" w:eastAsia="zh-CN" w:bidi="ar-SA"/>
    </w:rPr>
  </w:style>
  <w:style w:type="paragraph" w:customStyle="1" w:styleId="17">
    <w:name w:val="标准文件_三级无标题"/>
    <w:basedOn w:val="1"/>
    <w:qFormat/>
    <w:uiPriority w:val="0"/>
    <w:pPr>
      <w:widowControl/>
      <w:numPr>
        <w:ilvl w:val="3"/>
        <w:numId w:val="2"/>
      </w:numPr>
      <w:spacing w:after="156" w:afterLines="50"/>
    </w:pPr>
    <w:rPr>
      <w:rFonts w:ascii="宋体" w:hAnsi="Times New Roman"/>
      <w:kern w:val="0"/>
      <w:szCs w:val="20"/>
    </w:rPr>
  </w:style>
  <w:style w:type="paragraph" w:customStyle="1" w:styleId="18">
    <w:name w:val="标准文件_附录图标号"/>
    <w:basedOn w:val="11"/>
    <w:next w:val="11"/>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19">
    <w:name w:val="标准文件_附录表标号"/>
    <w:basedOn w:val="11"/>
    <w:next w:val="11"/>
    <w:qFormat/>
    <w:uiPriority w:val="0"/>
    <w:pPr>
      <w:numPr>
        <w:ilvl w:val="0"/>
        <w:numId w:val="4"/>
      </w:numPr>
      <w:spacing w:line="14" w:lineRule="exact"/>
      <w:ind w:firstLine="0" w:firstLineChars="0"/>
      <w:jc w:val="center"/>
    </w:pPr>
    <w:rPr>
      <w:rFonts w:eastAsia="黑体"/>
      <w:vanish/>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1040</Words>
  <Characters>5931</Characters>
  <Lines>49</Lines>
  <Paragraphs>13</Paragraphs>
  <ScaleCrop>false</ScaleCrop>
  <LinksUpToDate>false</LinksUpToDate>
  <CharactersWithSpaces>6958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2021-09-09T08:13:00Z</dcterms:created>
  <dc:creator>lyj01</dc:creator>
  <cp:lastModifiedBy>Administrator</cp:lastModifiedBy>
  <cp:lastPrinted>2022-09-14T09:10:00Z</cp:lastPrinted>
  <dcterms:modified xsi:type="dcterms:W3CDTF">2022-09-15T00:56:42Z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2A7A97B30EAA4062B91FB62DC3DB840D</vt:lpwstr>
  </property>
</Properties>
</file>