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31DFAB">
      <w:pPr>
        <w:jc w:val="center"/>
        <w:rPr>
          <w:rFonts w:ascii="黑体" w:hAnsi="黑体" w:eastAsia="黑体"/>
          <w:b/>
          <w:sz w:val="32"/>
          <w:szCs w:val="32"/>
        </w:rPr>
      </w:pPr>
      <w:r>
        <w:rPr>
          <w:rFonts w:hint="eastAsia" w:ascii="黑体" w:hAnsi="黑体" w:eastAsia="黑体"/>
          <w:b/>
          <w:sz w:val="32"/>
          <w:szCs w:val="32"/>
        </w:rPr>
        <w:t>龙岩市永定</w:t>
      </w:r>
      <w:r>
        <w:rPr>
          <w:rFonts w:hint="eastAsia" w:ascii="黑体" w:hAnsi="黑体" w:eastAsia="黑体"/>
          <w:b/>
          <w:sz w:val="32"/>
          <w:szCs w:val="32"/>
          <w:lang w:eastAsia="zh-CN"/>
        </w:rPr>
        <w:t>生态环境</w:t>
      </w:r>
      <w:r>
        <w:rPr>
          <w:rFonts w:hint="eastAsia" w:ascii="黑体" w:hAnsi="黑体" w:eastAsia="黑体"/>
          <w:b/>
          <w:sz w:val="32"/>
          <w:szCs w:val="32"/>
        </w:rPr>
        <w:t>局20</w:t>
      </w:r>
      <w:r>
        <w:rPr>
          <w:rFonts w:hint="eastAsia" w:ascii="黑体" w:hAnsi="黑体" w:eastAsia="黑体"/>
          <w:b/>
          <w:sz w:val="32"/>
          <w:szCs w:val="32"/>
          <w:lang w:val="en-US" w:eastAsia="zh-CN"/>
        </w:rPr>
        <w:t>26年2</w:t>
      </w:r>
      <w:r>
        <w:rPr>
          <w:rFonts w:hint="eastAsia" w:ascii="黑体" w:hAnsi="黑体" w:eastAsia="黑体"/>
          <w:b/>
          <w:sz w:val="32"/>
          <w:szCs w:val="32"/>
        </w:rPr>
        <w:t>月</w:t>
      </w:r>
      <w:r>
        <w:rPr>
          <w:rFonts w:hint="eastAsia" w:ascii="黑体" w:hAnsi="黑体" w:eastAsia="黑体"/>
          <w:b/>
          <w:sz w:val="32"/>
          <w:szCs w:val="32"/>
          <w:lang w:val="en-US" w:eastAsia="zh-CN"/>
        </w:rPr>
        <w:t>25</w:t>
      </w:r>
      <w:r>
        <w:rPr>
          <w:rFonts w:hint="eastAsia" w:ascii="黑体" w:hAnsi="黑体" w:eastAsia="黑体"/>
          <w:b/>
          <w:sz w:val="32"/>
          <w:szCs w:val="32"/>
        </w:rPr>
        <w:t>日拟批准的建设项目环境影响评价审批公告</w:t>
      </w:r>
    </w:p>
    <w:p w14:paraId="6076B6BF">
      <w:pPr>
        <w:ind w:firstLine="210" w:firstLineChars="100"/>
      </w:pPr>
    </w:p>
    <w:p w14:paraId="7105CF7A">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00" w:lineRule="exact"/>
        <w:ind w:left="0" w:right="0" w:firstLine="480"/>
        <w:jc w:val="left"/>
        <w:textAlignment w:val="auto"/>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根据建设项目环境管理的有关规定，经审议，我局拟对以下建设项目环境影响评价文件作出批准或不予批准的审批意见，现依据政府信息公开的有关规定予以公示。欢迎公众参与建设项目环境保护工作。</w:t>
      </w:r>
    </w:p>
    <w:p w14:paraId="411128A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500" w:lineRule="exact"/>
        <w:ind w:firstLine="480" w:firstLineChars="200"/>
        <w:textAlignment w:val="auto"/>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一、公示时间： 2026年02月25日  ～  2026</w:t>
      </w:r>
      <w:bookmarkStart w:id="0" w:name="_GoBack"/>
      <w:bookmarkEnd w:id="0"/>
      <w:r>
        <w:rPr>
          <w:rFonts w:hint="eastAsia" w:ascii="仿宋" w:hAnsi="仿宋" w:eastAsia="仿宋" w:cs="仿宋"/>
          <w:color w:val="000000"/>
          <w:kern w:val="0"/>
          <w:sz w:val="24"/>
          <w:szCs w:val="24"/>
          <w:lang w:val="en-US" w:eastAsia="zh-CN" w:bidi="ar"/>
        </w:rPr>
        <w:t>年03月02日（5个工作日）</w:t>
      </w:r>
    </w:p>
    <w:p w14:paraId="62644209">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0" w:afterAutospacing="0" w:line="500" w:lineRule="exact"/>
        <w:ind w:right="0" w:firstLine="480" w:firstLineChars="200"/>
        <w:jc w:val="left"/>
        <w:textAlignment w:val="auto"/>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二、权利告知：依据《中华人民共和国行政许可法》，自公示起五日内申请人、利害关系人可对以下拟作出的建设项目环境影响评价文件批复决定要求听证。</w:t>
      </w:r>
    </w:p>
    <w:p w14:paraId="2EB8AF68">
      <w:pPr>
        <w:pStyle w:val="7"/>
        <w:keepNext w:val="0"/>
        <w:keepLines w:val="0"/>
        <w:pageBreakBefore w:val="0"/>
        <w:widowControl/>
        <w:kinsoku/>
        <w:wordWrap/>
        <w:overflowPunct/>
        <w:topLinePunct w:val="0"/>
        <w:autoSpaceDE/>
        <w:autoSpaceDN/>
        <w:bidi w:val="0"/>
        <w:adjustRightInd/>
        <w:snapToGrid/>
        <w:spacing w:before="0" w:beforeAutospacing="0" w:afterAutospacing="0" w:line="500" w:lineRule="exact"/>
        <w:ind w:firstLine="360" w:firstLineChars="150"/>
        <w:textAlignment w:val="auto"/>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三、联系方式：</w:t>
      </w:r>
    </w:p>
    <w:p w14:paraId="0E32350D">
      <w:pPr>
        <w:pStyle w:val="7"/>
        <w:keepNext w:val="0"/>
        <w:keepLines w:val="0"/>
        <w:pageBreakBefore w:val="0"/>
        <w:widowControl/>
        <w:kinsoku/>
        <w:wordWrap/>
        <w:overflowPunct/>
        <w:topLinePunct w:val="0"/>
        <w:autoSpaceDE/>
        <w:autoSpaceDN/>
        <w:bidi w:val="0"/>
        <w:adjustRightInd/>
        <w:snapToGrid/>
        <w:spacing w:before="0" w:beforeAutospacing="0" w:afterAutospacing="0" w:line="500" w:lineRule="exact"/>
        <w:ind w:firstLine="360" w:firstLineChars="150"/>
        <w:textAlignment w:val="auto"/>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电话（传真）：0597－5821257 </w:t>
      </w:r>
    </w:p>
    <w:p w14:paraId="3C715D01">
      <w:pPr>
        <w:pStyle w:val="7"/>
        <w:keepNext w:val="0"/>
        <w:keepLines w:val="0"/>
        <w:pageBreakBefore w:val="0"/>
        <w:widowControl/>
        <w:kinsoku/>
        <w:wordWrap/>
        <w:overflowPunct/>
        <w:topLinePunct w:val="0"/>
        <w:autoSpaceDE/>
        <w:autoSpaceDN/>
        <w:bidi w:val="0"/>
        <w:adjustRightInd/>
        <w:snapToGrid/>
        <w:spacing w:before="0" w:beforeAutospacing="0" w:afterAutospacing="0" w:line="500" w:lineRule="exact"/>
        <w:ind w:firstLine="360" w:firstLineChars="150"/>
        <w:textAlignment w:val="auto"/>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电子邮箱：hbjspg@163.com </w:t>
      </w:r>
    </w:p>
    <w:p w14:paraId="645214BC">
      <w:pPr>
        <w:pStyle w:val="7"/>
        <w:keepNext w:val="0"/>
        <w:keepLines w:val="0"/>
        <w:pageBreakBefore w:val="0"/>
        <w:widowControl/>
        <w:kinsoku/>
        <w:wordWrap/>
        <w:overflowPunct/>
        <w:topLinePunct w:val="0"/>
        <w:autoSpaceDE/>
        <w:autoSpaceDN/>
        <w:bidi w:val="0"/>
        <w:adjustRightInd/>
        <w:snapToGrid/>
        <w:spacing w:before="0" w:beforeAutospacing="0" w:afterAutospacing="0" w:line="500" w:lineRule="exact"/>
        <w:ind w:firstLine="360" w:firstLineChars="150"/>
        <w:textAlignment w:val="auto"/>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通讯地址：龙岩市永定区凤城街道沿河北路8号龙岩市永定生态环境局综合股</w:t>
      </w:r>
    </w:p>
    <w:p w14:paraId="78AFC666">
      <w:pPr>
        <w:pStyle w:val="7"/>
        <w:keepNext w:val="0"/>
        <w:keepLines w:val="0"/>
        <w:pageBreakBefore w:val="0"/>
        <w:widowControl/>
        <w:kinsoku/>
        <w:wordWrap/>
        <w:overflowPunct/>
        <w:topLinePunct w:val="0"/>
        <w:autoSpaceDE/>
        <w:autoSpaceDN/>
        <w:bidi w:val="0"/>
        <w:adjustRightInd/>
        <w:snapToGrid/>
        <w:spacing w:before="0" w:beforeAutospacing="0" w:afterAutospacing="0" w:line="500" w:lineRule="exact"/>
        <w:ind w:firstLine="360" w:firstLineChars="150"/>
        <w:textAlignment w:val="auto"/>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邮政编码：364100 </w:t>
      </w:r>
    </w:p>
    <w:p w14:paraId="3B15AD72">
      <w:pPr>
        <w:pStyle w:val="7"/>
        <w:keepNext w:val="0"/>
        <w:keepLines w:val="0"/>
        <w:pageBreakBefore w:val="0"/>
        <w:widowControl/>
        <w:kinsoku/>
        <w:wordWrap/>
        <w:overflowPunct/>
        <w:topLinePunct w:val="0"/>
        <w:autoSpaceDE/>
        <w:autoSpaceDN/>
        <w:bidi w:val="0"/>
        <w:adjustRightInd/>
        <w:snapToGrid/>
        <w:spacing w:before="0" w:beforeAutospacing="0" w:afterAutospacing="0" w:line="360" w:lineRule="exact"/>
        <w:ind w:firstLine="360" w:firstLineChars="150"/>
        <w:textAlignment w:val="auto"/>
        <w:rPr>
          <w:rFonts w:hint="eastAsia" w:ascii="仿宋" w:hAnsi="仿宋" w:eastAsia="仿宋" w:cs="仿宋"/>
          <w:color w:val="000000"/>
          <w:kern w:val="0"/>
          <w:sz w:val="24"/>
          <w:szCs w:val="24"/>
          <w:lang w:val="en-US" w:eastAsia="zh-CN" w:bidi="ar"/>
        </w:rPr>
      </w:pPr>
    </w:p>
    <w:p w14:paraId="3E802758">
      <w:pPr>
        <w:pStyle w:val="7"/>
        <w:keepNext w:val="0"/>
        <w:keepLines w:val="0"/>
        <w:pageBreakBefore w:val="0"/>
        <w:widowControl/>
        <w:kinsoku/>
        <w:wordWrap/>
        <w:overflowPunct/>
        <w:topLinePunct w:val="0"/>
        <w:autoSpaceDE/>
        <w:autoSpaceDN/>
        <w:bidi w:val="0"/>
        <w:adjustRightInd/>
        <w:snapToGrid/>
        <w:spacing w:before="0" w:beforeAutospacing="0" w:afterAutospacing="0" w:line="360" w:lineRule="exact"/>
        <w:ind w:firstLine="360" w:firstLineChars="150"/>
        <w:textAlignment w:val="auto"/>
        <w:rPr>
          <w:rFonts w:hint="eastAsia" w:ascii="仿宋" w:hAnsi="仿宋" w:eastAsia="仿宋" w:cs="仿宋"/>
          <w:color w:val="000000"/>
          <w:kern w:val="0"/>
          <w:sz w:val="24"/>
          <w:szCs w:val="24"/>
          <w:lang w:val="en-US" w:eastAsia="zh-CN" w:bidi="ar"/>
        </w:rPr>
      </w:pPr>
    </w:p>
    <w:p w14:paraId="32285F9D">
      <w:pPr>
        <w:pStyle w:val="7"/>
        <w:keepNext w:val="0"/>
        <w:keepLines w:val="0"/>
        <w:pageBreakBefore w:val="0"/>
        <w:widowControl/>
        <w:kinsoku/>
        <w:wordWrap/>
        <w:overflowPunct/>
        <w:topLinePunct w:val="0"/>
        <w:autoSpaceDE/>
        <w:autoSpaceDN/>
        <w:bidi w:val="0"/>
        <w:adjustRightInd/>
        <w:snapToGrid/>
        <w:spacing w:before="0" w:beforeAutospacing="0" w:afterAutospacing="0" w:line="360" w:lineRule="exact"/>
        <w:ind w:firstLine="360" w:firstLineChars="150"/>
        <w:textAlignment w:val="auto"/>
        <w:rPr>
          <w:rFonts w:hint="eastAsia" w:ascii="仿宋" w:hAnsi="仿宋" w:eastAsia="仿宋" w:cs="仿宋"/>
          <w:color w:val="000000"/>
          <w:kern w:val="0"/>
          <w:sz w:val="24"/>
          <w:szCs w:val="24"/>
          <w:lang w:val="en-US" w:eastAsia="zh-CN" w:bidi="ar"/>
        </w:rPr>
      </w:pPr>
    </w:p>
    <w:p w14:paraId="721D00A6">
      <w:pPr>
        <w:pStyle w:val="7"/>
        <w:keepNext w:val="0"/>
        <w:keepLines w:val="0"/>
        <w:pageBreakBefore w:val="0"/>
        <w:widowControl/>
        <w:kinsoku/>
        <w:wordWrap/>
        <w:overflowPunct/>
        <w:topLinePunct w:val="0"/>
        <w:autoSpaceDE/>
        <w:autoSpaceDN/>
        <w:bidi w:val="0"/>
        <w:adjustRightInd/>
        <w:snapToGrid/>
        <w:spacing w:before="0" w:beforeAutospacing="0" w:afterAutospacing="0" w:line="360" w:lineRule="exact"/>
        <w:ind w:firstLine="360" w:firstLineChars="150"/>
        <w:textAlignment w:val="auto"/>
        <w:rPr>
          <w:rFonts w:hint="eastAsia" w:ascii="仿宋" w:hAnsi="仿宋" w:eastAsia="仿宋" w:cs="仿宋"/>
          <w:color w:val="000000"/>
          <w:kern w:val="0"/>
          <w:sz w:val="24"/>
          <w:szCs w:val="24"/>
          <w:lang w:val="en-US" w:eastAsia="zh-CN" w:bidi="ar"/>
        </w:rPr>
      </w:pPr>
    </w:p>
    <w:p w14:paraId="71D7D897">
      <w:pPr>
        <w:pStyle w:val="7"/>
        <w:keepNext w:val="0"/>
        <w:keepLines w:val="0"/>
        <w:pageBreakBefore w:val="0"/>
        <w:widowControl/>
        <w:kinsoku/>
        <w:wordWrap/>
        <w:overflowPunct/>
        <w:topLinePunct w:val="0"/>
        <w:autoSpaceDE/>
        <w:autoSpaceDN/>
        <w:bidi w:val="0"/>
        <w:adjustRightInd/>
        <w:snapToGrid/>
        <w:spacing w:before="0" w:beforeAutospacing="0" w:afterAutospacing="0" w:line="360" w:lineRule="exact"/>
        <w:ind w:firstLine="360" w:firstLineChars="150"/>
        <w:textAlignment w:val="auto"/>
        <w:rPr>
          <w:rFonts w:hint="eastAsia" w:ascii="仿宋" w:hAnsi="仿宋" w:eastAsia="仿宋" w:cs="仿宋"/>
          <w:color w:val="000000"/>
          <w:kern w:val="0"/>
          <w:sz w:val="24"/>
          <w:szCs w:val="24"/>
          <w:lang w:val="en-US" w:eastAsia="zh-CN" w:bidi="ar"/>
        </w:rPr>
      </w:pPr>
    </w:p>
    <w:p w14:paraId="27156317">
      <w:pPr>
        <w:pStyle w:val="7"/>
        <w:keepNext w:val="0"/>
        <w:keepLines w:val="0"/>
        <w:pageBreakBefore w:val="0"/>
        <w:widowControl/>
        <w:kinsoku/>
        <w:wordWrap/>
        <w:overflowPunct/>
        <w:topLinePunct w:val="0"/>
        <w:autoSpaceDE/>
        <w:autoSpaceDN/>
        <w:bidi w:val="0"/>
        <w:adjustRightInd/>
        <w:snapToGrid/>
        <w:spacing w:before="0" w:beforeAutospacing="0" w:afterAutospacing="0" w:line="360" w:lineRule="exact"/>
        <w:ind w:firstLine="360" w:firstLineChars="150"/>
        <w:textAlignment w:val="auto"/>
        <w:rPr>
          <w:rFonts w:hint="eastAsia" w:ascii="仿宋" w:hAnsi="仿宋" w:eastAsia="仿宋" w:cs="仿宋"/>
          <w:color w:val="000000"/>
          <w:kern w:val="0"/>
          <w:sz w:val="24"/>
          <w:szCs w:val="24"/>
          <w:lang w:val="en-US" w:eastAsia="zh-CN" w:bidi="ar"/>
        </w:rPr>
      </w:pPr>
    </w:p>
    <w:tbl>
      <w:tblPr>
        <w:tblStyle w:val="8"/>
        <w:tblpPr w:leftFromText="180" w:rightFromText="180" w:vertAnchor="text" w:horzAnchor="page" w:tblpX="1435" w:tblpY="295"/>
        <w:tblOverlap w:val="never"/>
        <w:tblW w:w="134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9"/>
        <w:gridCol w:w="11320"/>
      </w:tblGrid>
      <w:tr w14:paraId="1264E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179" w:type="dxa"/>
            <w:tcBorders>
              <w:top w:val="single" w:color="auto" w:sz="4" w:space="0"/>
              <w:left w:val="single" w:color="auto" w:sz="4" w:space="0"/>
              <w:bottom w:val="single" w:color="auto" w:sz="4" w:space="0"/>
              <w:right w:val="single" w:color="auto" w:sz="4" w:space="0"/>
            </w:tcBorders>
            <w:vAlign w:val="top"/>
          </w:tcPr>
          <w:p w14:paraId="1D8493B7">
            <w:pPr>
              <w:keepNext w:val="0"/>
              <w:keepLines w:val="0"/>
              <w:pageBreakBefore w:val="0"/>
              <w:kinsoku/>
              <w:wordWrap/>
              <w:overflowPunct/>
              <w:topLinePunct w:val="0"/>
              <w:autoSpaceDE/>
              <w:autoSpaceDN/>
              <w:bidi w:val="0"/>
              <w:adjustRightInd/>
              <w:snapToGrid/>
              <w:spacing w:beforeAutospacing="0" w:afterAutospacing="0" w:line="480" w:lineRule="exact"/>
              <w:jc w:val="center"/>
              <w:textAlignment w:val="auto"/>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项目名称</w:t>
            </w:r>
          </w:p>
        </w:tc>
        <w:tc>
          <w:tcPr>
            <w:tcW w:w="11320" w:type="dxa"/>
            <w:tcBorders>
              <w:top w:val="single" w:color="auto" w:sz="4" w:space="0"/>
              <w:left w:val="single" w:color="auto" w:sz="4" w:space="0"/>
              <w:bottom w:val="single" w:color="auto" w:sz="4" w:space="0"/>
              <w:right w:val="single" w:color="auto" w:sz="4" w:space="0"/>
            </w:tcBorders>
            <w:vAlign w:val="top"/>
          </w:tcPr>
          <w:p w14:paraId="539F5F1B">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jc w:val="center"/>
              <w:textAlignment w:val="auto"/>
              <w:rPr>
                <w:rFonts w:hint="eastAsia" w:ascii="仿宋" w:hAnsi="仿宋" w:eastAsia="仿宋" w:cs="仿宋"/>
                <w:color w:val="000000"/>
                <w:kern w:val="0"/>
                <w:sz w:val="24"/>
                <w:szCs w:val="24"/>
                <w:lang w:val="en-US" w:eastAsia="zh-CN" w:bidi="ar"/>
              </w:rPr>
            </w:pPr>
            <w:r>
              <w:rPr>
                <w:rFonts w:hint="eastAsia" w:ascii="仿宋" w:hAnsi="仿宋" w:eastAsia="仿宋" w:cs="仿宋"/>
                <w:sz w:val="24"/>
                <w:szCs w:val="24"/>
                <w:u w:val="none"/>
                <w:lang w:val="en-US" w:eastAsia="zh-CN"/>
              </w:rPr>
              <w:t>龙合智能装备制造有限公司高端物流技术装备数智化绿色制造产业园项目</w:t>
            </w:r>
          </w:p>
        </w:tc>
      </w:tr>
      <w:tr w14:paraId="5587C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179" w:type="dxa"/>
            <w:tcBorders>
              <w:top w:val="single" w:color="auto" w:sz="4" w:space="0"/>
              <w:left w:val="single" w:color="auto" w:sz="4" w:space="0"/>
              <w:bottom w:val="single" w:color="auto" w:sz="4" w:space="0"/>
              <w:right w:val="single" w:color="auto" w:sz="4" w:space="0"/>
            </w:tcBorders>
            <w:vAlign w:val="center"/>
          </w:tcPr>
          <w:p w14:paraId="508E35DB">
            <w:pPr>
              <w:keepNext w:val="0"/>
              <w:keepLines w:val="0"/>
              <w:pageBreakBefore w:val="0"/>
              <w:kinsoku/>
              <w:wordWrap/>
              <w:overflowPunct/>
              <w:topLinePunct w:val="0"/>
              <w:autoSpaceDE/>
              <w:autoSpaceDN/>
              <w:bidi w:val="0"/>
              <w:adjustRightInd/>
              <w:snapToGrid/>
              <w:spacing w:beforeAutospacing="0" w:afterAutospacing="0" w:line="480" w:lineRule="exact"/>
              <w:jc w:val="center"/>
              <w:textAlignment w:val="auto"/>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建设地点</w:t>
            </w:r>
          </w:p>
        </w:tc>
        <w:tc>
          <w:tcPr>
            <w:tcW w:w="11320" w:type="dxa"/>
            <w:tcBorders>
              <w:top w:val="single" w:color="auto" w:sz="4" w:space="0"/>
              <w:left w:val="single" w:color="auto" w:sz="4" w:space="0"/>
              <w:bottom w:val="single" w:color="auto" w:sz="4" w:space="0"/>
              <w:right w:val="single" w:color="auto" w:sz="4" w:space="0"/>
            </w:tcBorders>
            <w:vAlign w:val="center"/>
          </w:tcPr>
          <w:p w14:paraId="53AFE105">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jc w:val="center"/>
              <w:textAlignment w:val="auto"/>
              <w:rPr>
                <w:rFonts w:hint="eastAsia" w:ascii="仿宋" w:hAnsi="仿宋" w:eastAsia="仿宋" w:cs="仿宋"/>
                <w:color w:val="000000"/>
                <w:kern w:val="0"/>
                <w:sz w:val="24"/>
                <w:szCs w:val="24"/>
                <w:lang w:val="en-US" w:eastAsia="zh-CN" w:bidi="ar"/>
              </w:rPr>
            </w:pPr>
            <w:r>
              <w:rPr>
                <w:rFonts w:hint="eastAsia" w:ascii="仿宋" w:hAnsi="仿宋" w:eastAsia="仿宋" w:cs="仿宋"/>
                <w:sz w:val="24"/>
                <w:szCs w:val="24"/>
                <w:u w:val="none"/>
              </w:rPr>
              <w:t>福建省龙岩经开区（高新区）高陂镇北环路</w:t>
            </w:r>
          </w:p>
        </w:tc>
      </w:tr>
      <w:tr w14:paraId="45873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179" w:type="dxa"/>
            <w:tcBorders>
              <w:top w:val="single" w:color="auto" w:sz="4" w:space="0"/>
              <w:left w:val="single" w:color="auto" w:sz="4" w:space="0"/>
              <w:bottom w:val="single" w:color="auto" w:sz="4" w:space="0"/>
              <w:right w:val="single" w:color="auto" w:sz="4" w:space="0"/>
            </w:tcBorders>
            <w:vAlign w:val="center"/>
          </w:tcPr>
          <w:p w14:paraId="5E10B699">
            <w:pPr>
              <w:keepNext w:val="0"/>
              <w:keepLines w:val="0"/>
              <w:pageBreakBefore w:val="0"/>
              <w:kinsoku/>
              <w:wordWrap/>
              <w:overflowPunct/>
              <w:topLinePunct w:val="0"/>
              <w:autoSpaceDE/>
              <w:autoSpaceDN/>
              <w:bidi w:val="0"/>
              <w:adjustRightInd/>
              <w:snapToGrid/>
              <w:spacing w:beforeAutospacing="0" w:afterAutospacing="0" w:line="480" w:lineRule="exact"/>
              <w:jc w:val="center"/>
              <w:textAlignment w:val="auto"/>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建设单位</w:t>
            </w:r>
          </w:p>
        </w:tc>
        <w:tc>
          <w:tcPr>
            <w:tcW w:w="11320" w:type="dxa"/>
            <w:tcBorders>
              <w:top w:val="single" w:color="auto" w:sz="4" w:space="0"/>
              <w:left w:val="single" w:color="auto" w:sz="4" w:space="0"/>
              <w:bottom w:val="single" w:color="auto" w:sz="4" w:space="0"/>
              <w:right w:val="single" w:color="auto" w:sz="4" w:space="0"/>
            </w:tcBorders>
          </w:tcPr>
          <w:p w14:paraId="1FCD8BA7">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jc w:val="center"/>
              <w:textAlignment w:val="auto"/>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龙合智能装备制造有限公司</w:t>
            </w:r>
          </w:p>
        </w:tc>
      </w:tr>
      <w:tr w14:paraId="2B5C8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179" w:type="dxa"/>
            <w:tcBorders>
              <w:top w:val="single" w:color="auto" w:sz="4" w:space="0"/>
              <w:left w:val="single" w:color="auto" w:sz="4" w:space="0"/>
              <w:bottom w:val="single" w:color="auto" w:sz="4" w:space="0"/>
              <w:right w:val="single" w:color="auto" w:sz="4" w:space="0"/>
            </w:tcBorders>
            <w:vAlign w:val="center"/>
          </w:tcPr>
          <w:p w14:paraId="0D74A5AD">
            <w:pPr>
              <w:keepNext w:val="0"/>
              <w:keepLines w:val="0"/>
              <w:pageBreakBefore w:val="0"/>
              <w:kinsoku/>
              <w:wordWrap/>
              <w:overflowPunct/>
              <w:topLinePunct w:val="0"/>
              <w:autoSpaceDE/>
              <w:autoSpaceDN/>
              <w:bidi w:val="0"/>
              <w:adjustRightInd/>
              <w:snapToGrid/>
              <w:spacing w:beforeAutospacing="0" w:afterAutospacing="0" w:line="480" w:lineRule="exact"/>
              <w:jc w:val="center"/>
              <w:textAlignment w:val="auto"/>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环境影响评价机构</w:t>
            </w:r>
          </w:p>
        </w:tc>
        <w:tc>
          <w:tcPr>
            <w:tcW w:w="11320" w:type="dxa"/>
            <w:tcBorders>
              <w:top w:val="single" w:color="auto" w:sz="4" w:space="0"/>
              <w:left w:val="single" w:color="auto" w:sz="4" w:space="0"/>
              <w:bottom w:val="single" w:color="auto" w:sz="4" w:space="0"/>
              <w:right w:val="single" w:color="auto" w:sz="4" w:space="0"/>
            </w:tcBorders>
            <w:vAlign w:val="center"/>
          </w:tcPr>
          <w:p w14:paraId="4F30DAFB">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jc w:val="center"/>
              <w:textAlignment w:val="auto"/>
              <w:rPr>
                <w:rFonts w:hint="eastAsia" w:ascii="仿宋" w:hAnsi="仿宋" w:eastAsia="仿宋" w:cs="仿宋"/>
                <w:color w:val="000000"/>
                <w:kern w:val="0"/>
                <w:sz w:val="24"/>
                <w:szCs w:val="24"/>
                <w:lang w:val="en-US" w:eastAsia="zh-CN" w:bidi="ar"/>
              </w:rPr>
            </w:pPr>
            <w:r>
              <w:rPr>
                <w:rFonts w:hint="eastAsia" w:ascii="仿宋" w:hAnsi="仿宋" w:eastAsia="仿宋" w:cs="仿宋"/>
                <w:sz w:val="24"/>
                <w:szCs w:val="24"/>
                <w:lang w:val="en-US" w:eastAsia="zh-CN"/>
              </w:rPr>
              <w:t>福建省中楠环保工程设计有限公司</w:t>
            </w:r>
          </w:p>
        </w:tc>
      </w:tr>
      <w:tr w14:paraId="4D8C8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9" w:hRule="atLeast"/>
        </w:trPr>
        <w:tc>
          <w:tcPr>
            <w:tcW w:w="2179" w:type="dxa"/>
            <w:tcBorders>
              <w:top w:val="single" w:color="auto" w:sz="4" w:space="0"/>
              <w:left w:val="single" w:color="auto" w:sz="4" w:space="0"/>
              <w:bottom w:val="single" w:color="auto" w:sz="4" w:space="0"/>
              <w:right w:val="single" w:color="auto" w:sz="4" w:space="0"/>
            </w:tcBorders>
            <w:vAlign w:val="center"/>
          </w:tcPr>
          <w:p w14:paraId="3C5CFA18">
            <w:pPr>
              <w:keepNext w:val="0"/>
              <w:keepLines w:val="0"/>
              <w:pageBreakBefore w:val="0"/>
              <w:kinsoku/>
              <w:wordWrap/>
              <w:overflowPunct/>
              <w:topLinePunct w:val="0"/>
              <w:autoSpaceDE/>
              <w:autoSpaceDN/>
              <w:bidi w:val="0"/>
              <w:adjustRightInd/>
              <w:snapToGrid/>
              <w:spacing w:beforeAutospacing="0" w:afterAutospacing="0" w:line="480" w:lineRule="exact"/>
              <w:jc w:val="center"/>
              <w:textAlignment w:val="auto"/>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项目概况</w:t>
            </w:r>
          </w:p>
        </w:tc>
        <w:tc>
          <w:tcPr>
            <w:tcW w:w="11320" w:type="dxa"/>
            <w:tcBorders>
              <w:top w:val="single" w:color="auto" w:sz="4" w:space="0"/>
              <w:left w:val="single" w:color="auto" w:sz="4" w:space="0"/>
              <w:bottom w:val="single" w:color="auto" w:sz="4" w:space="0"/>
              <w:right w:val="single" w:color="auto" w:sz="4" w:space="0"/>
            </w:tcBorders>
          </w:tcPr>
          <w:p w14:paraId="50E6EF1C">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firstLine="480" w:firstLineChars="200"/>
              <w:jc w:val="left"/>
              <w:textAlignment w:val="auto"/>
              <w:rPr>
                <w:rFonts w:hint="eastAsia" w:ascii="仿宋" w:hAnsi="仿宋" w:eastAsia="仿宋" w:cs="仿宋"/>
                <w:sz w:val="24"/>
                <w:szCs w:val="24"/>
                <w:lang w:val="en-US" w:eastAsia="zh-CN"/>
              </w:rPr>
            </w:pPr>
            <w:r>
              <w:rPr>
                <w:rFonts w:hint="eastAsia" w:ascii="仿宋" w:hAnsi="仿宋" w:eastAsia="仿宋" w:cs="仿宋"/>
                <w:color w:val="000000"/>
                <w:kern w:val="0"/>
                <w:sz w:val="24"/>
                <w:szCs w:val="24"/>
                <w:lang w:val="en-US" w:eastAsia="zh-CN" w:bidi="ar"/>
              </w:rPr>
              <w:t xml:space="preserve">项目位于龙岩高新区（经开区）高陂镇北环路，属于龙岩市经开区（高新区）高陂片区范围，项目拟规划用地总面积约270亩，分二期建设，本次环评仅针对一期项目，一期规划用地150亩，总投资11.6亿元，其中环保投资240万元，建设自动化智能无人装卸系统、智能终端物料转换系统生产线，预计年产1000台套系列产品。项目已取得龙岩高新区（经开区）经济发展局备案证明（闽工信备[2025]F080082号）。 </w:t>
            </w:r>
          </w:p>
        </w:tc>
      </w:tr>
      <w:tr w14:paraId="397D0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2" w:hRule="atLeast"/>
        </w:trPr>
        <w:tc>
          <w:tcPr>
            <w:tcW w:w="2179" w:type="dxa"/>
            <w:tcBorders>
              <w:top w:val="single" w:color="auto" w:sz="4" w:space="0"/>
              <w:left w:val="single" w:color="auto" w:sz="4" w:space="0"/>
              <w:bottom w:val="single" w:color="auto" w:sz="4" w:space="0"/>
              <w:right w:val="single" w:color="auto" w:sz="4" w:space="0"/>
            </w:tcBorders>
            <w:vAlign w:val="center"/>
          </w:tcPr>
          <w:p w14:paraId="26734752">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exact"/>
              <w:jc w:val="center"/>
              <w:textAlignment w:val="auto"/>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主要环境影响及预防或者减轻不良环境影响的对策和措施（拟不予批准的原因）</w:t>
            </w:r>
          </w:p>
          <w:p w14:paraId="67644A1D">
            <w:pPr>
              <w:keepNext w:val="0"/>
              <w:keepLines w:val="0"/>
              <w:pageBreakBefore w:val="0"/>
              <w:kinsoku/>
              <w:wordWrap/>
              <w:overflowPunct/>
              <w:topLinePunct w:val="0"/>
              <w:autoSpaceDE/>
              <w:autoSpaceDN/>
              <w:bidi w:val="0"/>
              <w:adjustRightInd/>
              <w:snapToGrid/>
              <w:spacing w:beforeAutospacing="0" w:afterAutospacing="0" w:line="480" w:lineRule="exact"/>
              <w:jc w:val="center"/>
              <w:textAlignment w:val="auto"/>
              <w:rPr>
                <w:rFonts w:hint="eastAsia" w:ascii="仿宋" w:hAnsi="仿宋" w:eastAsia="仿宋" w:cs="仿宋"/>
                <w:color w:val="000000"/>
                <w:kern w:val="0"/>
                <w:sz w:val="24"/>
                <w:szCs w:val="24"/>
                <w:lang w:val="en-US" w:eastAsia="zh-CN" w:bidi="ar"/>
              </w:rPr>
            </w:pPr>
          </w:p>
        </w:tc>
        <w:tc>
          <w:tcPr>
            <w:tcW w:w="11320" w:type="dxa"/>
            <w:tcBorders>
              <w:top w:val="single" w:color="auto" w:sz="4" w:space="0"/>
              <w:left w:val="single" w:color="auto" w:sz="4" w:space="0"/>
              <w:bottom w:val="single" w:color="auto" w:sz="4" w:space="0"/>
              <w:right w:val="single" w:color="auto" w:sz="4" w:space="0"/>
            </w:tcBorders>
          </w:tcPr>
          <w:p w14:paraId="2F4D5AB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left"/>
              <w:textAlignment w:val="auto"/>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一、项目建设和运行过程中，应认真对照环保法律法规规定和《报告表》内容，严格执行各项环境管理和污染防治、生态保护、风险防控措施要求，确保投入到位、建设到位、管理到位，重点做好以下工作：</w:t>
            </w:r>
          </w:p>
          <w:p w14:paraId="37AD191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left"/>
              <w:textAlignment w:val="auto"/>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(一)严格落实废水污染防控措施</w:t>
            </w:r>
          </w:p>
          <w:p w14:paraId="6708A373">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left"/>
              <w:textAlignment w:val="auto"/>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项目须实行雨污分流。喷粉前处理废水经自建的废水处理设施（反应池-压滤机过滤-厌氧池-好氧池-MBR生物膜过滤）处理后回用，不外排；生活污水经化粪池预处理后，达到《污水综合排放标准》（GB8978-1996）表4三级标准及《污水排入城镇下水道水质标准》（GB/T31962-2015）表1中的B级标准后，接入园区污水管网进入永定第二污水处理厂处理。落实分区防渗要求，对危废间、生产车间、一般固废暂存间等区域采取防渗措施，加强防渗设施的日常维护，防止土壤和地下水污染。</w:t>
            </w:r>
          </w:p>
          <w:p w14:paraId="32041358">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left"/>
              <w:textAlignment w:val="auto"/>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二)严格落实废气污染防控措施。项目切割粉尘经设备自带过滤装置收集处理；焊接烟尘经移动式焊接烟尘净化器处理；抛丸废气经滤芯除尘装置处理；建设密闭微负压喷涂和烘干车间，喷粉废气经漏斗收集+两级滤筒回收除尘，脱水预热烘道、粉末固化烘道燃烧废气和粉末固化废气经负压收集+换热器降温+活性炭吸附装置处理。活性炭填装量和更换频率需符合设计要求，保证排放口稳定达标。颗粒物排放执行《大气污染物综合排放标准》(GB16297-1996)表2中排放监控浓度限值；有机废气排放执行《工业涂装工序挥发性有机物排放标准》(DB35/1783-2018)，无组织排放还需执行《挥发性有机物无组织排放控制标准》(GB37822-2019)。烘干炉废气排放执行《福建省工业炉窑大气污染综合治理方案》(闽环保大气〔2019〕10)号，颗粒物、二氧化硫和氮氧化物排放限值分别不高于30、200、300毫克/立方米；各排气筒高度应符合相关标准要求。</w:t>
            </w:r>
          </w:p>
          <w:p w14:paraId="7A20B5B3">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left"/>
              <w:textAlignment w:val="auto"/>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(三)落实噪声污染防控措施。合理布局高噪声设备并采取减振、隔声、降噪等措施，厂界噪声执行《工业企业厂界噪声排放标准》(GB12348—2008)中3类标准。</w:t>
            </w:r>
          </w:p>
          <w:p w14:paraId="70D083F2">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left"/>
              <w:textAlignment w:val="auto"/>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四)落实固废污染防控措施。一般固废应分类收集、处置，加强资源化回收综合利用；危险废物应委托有相应资质的单位处置；生活垃圾由环卫部门统一处理；一般固废执行《一般工业固体废物贮存和填埋污染控制标准》(GB18599-2020)。危险废物贮存执行《危险废物贮存污染控制标准》(GB18597-2023)，转移执行《危险废物转移联单管理办法》的有关规定。</w:t>
            </w:r>
          </w:p>
          <w:p w14:paraId="0D0005FF">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left"/>
              <w:textAlignment w:val="auto"/>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二、污染物排放总量：根据《报告表》核算，项目建成后最大新增污染物排放为：二氧化硫0.1t/a、氮氧化物 0.935t/a、非甲烷总烃1.879t/a。你单位应凭本批复及环评文件及时到我局办理新增主要污染物氮氧化物总量指标确认意见，在项目投产前自行通过排污权交易机构申购所需总量。根据《福建省生态环境厅关于印发服务和促进民营经济发展九条措施的通知》(闽环保综合〔2025〕1号)，二氧化硫、非甲烷总烃排放量小于 0.1t/a，可免购买排污权交易指标、提交总量来源说明。</w:t>
            </w:r>
          </w:p>
          <w:p w14:paraId="1F93D582">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left"/>
              <w:textAlignment w:val="auto"/>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三、本《报告表》经批准后，如项目的性质、规模、地点、采用的生产工艺或防治污染、防止生态破坏的措施发生重大变动的，应当在实施重大变动前重新报批项目的环境影响评价文件；不属于重大变动的情形纳入排污许可或者竣工环境保护验收管理。</w:t>
            </w:r>
          </w:p>
          <w:p w14:paraId="6CEF046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left"/>
              <w:textAlignment w:val="auto"/>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四、项目建设必须严格执行环保“三同时”制度，落实各项环保措施和设施。项目建成后，企业应按规定程序自行组织竣工环保验收，验收合格后方可正式投入运行。</w:t>
            </w:r>
          </w:p>
        </w:tc>
      </w:tr>
      <w:tr w14:paraId="5FCB7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2179" w:type="dxa"/>
            <w:tcBorders>
              <w:top w:val="single" w:color="auto" w:sz="4" w:space="0"/>
              <w:left w:val="single" w:color="auto" w:sz="4" w:space="0"/>
              <w:bottom w:val="single" w:color="auto" w:sz="4" w:space="0"/>
              <w:right w:val="single" w:color="auto" w:sz="4" w:space="0"/>
            </w:tcBorders>
            <w:vAlign w:val="center"/>
          </w:tcPr>
          <w:p w14:paraId="7AD02891">
            <w:pPr>
              <w:keepNext w:val="0"/>
              <w:keepLines w:val="0"/>
              <w:pageBreakBefore w:val="0"/>
              <w:kinsoku/>
              <w:wordWrap/>
              <w:overflowPunct/>
              <w:topLinePunct w:val="0"/>
              <w:autoSpaceDE/>
              <w:autoSpaceDN/>
              <w:bidi w:val="0"/>
              <w:adjustRightInd/>
              <w:snapToGrid/>
              <w:spacing w:beforeAutospacing="0" w:afterAutospacing="0" w:line="480" w:lineRule="exact"/>
              <w:jc w:val="center"/>
              <w:textAlignment w:val="auto"/>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公众参与情况</w:t>
            </w:r>
          </w:p>
        </w:tc>
        <w:tc>
          <w:tcPr>
            <w:tcW w:w="11320" w:type="dxa"/>
            <w:tcBorders>
              <w:top w:val="single" w:color="auto" w:sz="4" w:space="0"/>
              <w:left w:val="single" w:color="auto" w:sz="4" w:space="0"/>
              <w:bottom w:val="single" w:color="auto" w:sz="4" w:space="0"/>
              <w:right w:val="single" w:color="auto" w:sz="4" w:space="0"/>
            </w:tcBorders>
            <w:vAlign w:val="center"/>
          </w:tcPr>
          <w:p w14:paraId="324F849E">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jc w:val="left"/>
              <w:textAlignment w:val="auto"/>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已公示，公示期未接到群众投诉及举报电话。</w:t>
            </w:r>
          </w:p>
        </w:tc>
      </w:tr>
    </w:tbl>
    <w:p w14:paraId="76B6B445">
      <w:pPr>
        <w:pStyle w:val="7"/>
        <w:keepNext w:val="0"/>
        <w:keepLines w:val="0"/>
        <w:pageBreakBefore w:val="0"/>
        <w:widowControl/>
        <w:kinsoku/>
        <w:wordWrap/>
        <w:overflowPunct/>
        <w:topLinePunct w:val="0"/>
        <w:autoSpaceDE/>
        <w:autoSpaceDN/>
        <w:bidi w:val="0"/>
        <w:adjustRightInd/>
        <w:snapToGrid/>
        <w:spacing w:before="0" w:beforeAutospacing="0" w:afterAutospacing="0" w:line="360" w:lineRule="exact"/>
        <w:ind w:firstLine="360" w:firstLineChars="150"/>
        <w:textAlignment w:val="auto"/>
        <w:rPr>
          <w:rFonts w:hint="eastAsia" w:ascii="仿宋" w:hAnsi="仿宋" w:eastAsia="仿宋" w:cs="仿宋"/>
          <w:color w:val="000000"/>
          <w:kern w:val="0"/>
          <w:sz w:val="24"/>
          <w:szCs w:val="24"/>
          <w:lang w:val="en-US" w:eastAsia="zh-CN" w:bidi="ar"/>
        </w:rPr>
      </w:pPr>
    </w:p>
    <w:p w14:paraId="07881243">
      <w:pPr>
        <w:pStyle w:val="7"/>
        <w:keepNext w:val="0"/>
        <w:keepLines w:val="0"/>
        <w:pageBreakBefore w:val="0"/>
        <w:widowControl/>
        <w:kinsoku/>
        <w:wordWrap/>
        <w:overflowPunct/>
        <w:topLinePunct w:val="0"/>
        <w:autoSpaceDE/>
        <w:autoSpaceDN/>
        <w:bidi w:val="0"/>
        <w:adjustRightInd/>
        <w:snapToGrid/>
        <w:spacing w:before="0" w:beforeAutospacing="0" w:afterAutospacing="0" w:line="360" w:lineRule="exact"/>
        <w:ind w:firstLine="360" w:firstLineChars="150"/>
        <w:textAlignment w:val="auto"/>
        <w:rPr>
          <w:rFonts w:hint="eastAsia" w:ascii="仿宋" w:hAnsi="仿宋" w:eastAsia="仿宋" w:cs="仿宋"/>
          <w:color w:val="000000"/>
          <w:kern w:val="0"/>
          <w:sz w:val="24"/>
          <w:szCs w:val="24"/>
          <w:lang w:val="en-US" w:eastAsia="zh-CN" w:bidi="ar"/>
        </w:rPr>
      </w:pPr>
    </w:p>
    <w:p w14:paraId="499F87E9">
      <w:pPr>
        <w:pStyle w:val="7"/>
        <w:keepNext w:val="0"/>
        <w:keepLines w:val="0"/>
        <w:pageBreakBefore w:val="0"/>
        <w:widowControl/>
        <w:kinsoku/>
        <w:wordWrap/>
        <w:overflowPunct/>
        <w:topLinePunct w:val="0"/>
        <w:autoSpaceDE/>
        <w:autoSpaceDN/>
        <w:bidi w:val="0"/>
        <w:adjustRightInd/>
        <w:snapToGrid/>
        <w:spacing w:before="0" w:beforeAutospacing="0" w:afterAutospacing="0" w:line="360" w:lineRule="exact"/>
        <w:ind w:firstLine="360" w:firstLineChars="150"/>
        <w:textAlignment w:val="auto"/>
        <w:rPr>
          <w:rFonts w:hint="eastAsia" w:ascii="仿宋" w:hAnsi="仿宋" w:eastAsia="仿宋" w:cs="仿宋"/>
          <w:color w:val="000000"/>
          <w:kern w:val="0"/>
          <w:sz w:val="24"/>
          <w:szCs w:val="24"/>
          <w:lang w:val="en-US" w:eastAsia="zh-CN" w:bidi="ar"/>
        </w:rPr>
      </w:pPr>
    </w:p>
    <w:p w14:paraId="2EB04821">
      <w:pPr>
        <w:pStyle w:val="7"/>
        <w:keepNext w:val="0"/>
        <w:keepLines w:val="0"/>
        <w:pageBreakBefore w:val="0"/>
        <w:widowControl/>
        <w:kinsoku/>
        <w:wordWrap/>
        <w:overflowPunct/>
        <w:topLinePunct w:val="0"/>
        <w:autoSpaceDE/>
        <w:autoSpaceDN/>
        <w:bidi w:val="0"/>
        <w:adjustRightInd/>
        <w:snapToGrid/>
        <w:spacing w:before="0" w:beforeAutospacing="0" w:afterAutospacing="0" w:line="360" w:lineRule="exact"/>
        <w:ind w:firstLine="360" w:firstLineChars="150"/>
        <w:textAlignment w:val="auto"/>
        <w:rPr>
          <w:rFonts w:hint="eastAsia" w:ascii="仿宋" w:hAnsi="仿宋" w:eastAsia="仿宋" w:cs="仿宋"/>
          <w:color w:val="000000"/>
          <w:kern w:val="0"/>
          <w:sz w:val="24"/>
          <w:szCs w:val="24"/>
          <w:lang w:val="en-US" w:eastAsia="zh-CN" w:bidi="ar"/>
        </w:rPr>
      </w:pPr>
    </w:p>
    <w:p w14:paraId="66931DF8">
      <w:pPr>
        <w:pStyle w:val="7"/>
        <w:keepNext w:val="0"/>
        <w:keepLines w:val="0"/>
        <w:pageBreakBefore w:val="0"/>
        <w:widowControl/>
        <w:kinsoku/>
        <w:wordWrap/>
        <w:overflowPunct/>
        <w:topLinePunct w:val="0"/>
        <w:autoSpaceDE/>
        <w:autoSpaceDN/>
        <w:bidi w:val="0"/>
        <w:adjustRightInd/>
        <w:snapToGrid/>
        <w:spacing w:before="0" w:beforeAutospacing="0" w:afterAutospacing="0" w:line="360" w:lineRule="exact"/>
        <w:ind w:firstLine="360" w:firstLineChars="150"/>
        <w:textAlignment w:val="auto"/>
        <w:rPr>
          <w:rFonts w:hint="eastAsia" w:ascii="仿宋" w:hAnsi="仿宋" w:eastAsia="仿宋" w:cs="仿宋"/>
          <w:color w:val="000000"/>
          <w:kern w:val="0"/>
          <w:sz w:val="24"/>
          <w:szCs w:val="24"/>
          <w:lang w:val="en-US" w:eastAsia="zh-CN" w:bidi="ar"/>
        </w:rPr>
      </w:pPr>
    </w:p>
    <w:p w14:paraId="73B5DE20">
      <w:pPr>
        <w:pStyle w:val="7"/>
        <w:keepNext w:val="0"/>
        <w:keepLines w:val="0"/>
        <w:pageBreakBefore w:val="0"/>
        <w:widowControl/>
        <w:kinsoku/>
        <w:wordWrap/>
        <w:overflowPunct/>
        <w:topLinePunct w:val="0"/>
        <w:autoSpaceDE/>
        <w:autoSpaceDN/>
        <w:bidi w:val="0"/>
        <w:adjustRightInd/>
        <w:snapToGrid/>
        <w:spacing w:before="0" w:beforeAutospacing="0" w:afterAutospacing="0" w:line="360" w:lineRule="exact"/>
        <w:ind w:firstLine="360" w:firstLineChars="150"/>
        <w:textAlignment w:val="auto"/>
        <w:rPr>
          <w:rFonts w:hint="eastAsia" w:ascii="仿宋" w:hAnsi="仿宋" w:eastAsia="仿宋" w:cs="仿宋"/>
          <w:color w:val="000000"/>
          <w:kern w:val="0"/>
          <w:sz w:val="24"/>
          <w:szCs w:val="24"/>
          <w:lang w:val="en-US" w:eastAsia="zh-CN" w:bidi="ar"/>
        </w:rPr>
      </w:pPr>
    </w:p>
    <w:p w14:paraId="7ABAD3CA">
      <w:pPr>
        <w:pStyle w:val="7"/>
        <w:keepNext w:val="0"/>
        <w:keepLines w:val="0"/>
        <w:pageBreakBefore w:val="0"/>
        <w:kinsoku/>
        <w:wordWrap/>
        <w:overflowPunct/>
        <w:topLinePunct w:val="0"/>
        <w:autoSpaceDE/>
        <w:autoSpaceDN/>
        <w:bidi w:val="0"/>
        <w:adjustRightInd/>
        <w:snapToGrid/>
        <w:spacing w:before="0" w:beforeAutospacing="0" w:afterAutospacing="0" w:line="560" w:lineRule="exact"/>
        <w:ind w:firstLine="360" w:firstLineChars="150"/>
        <w:textAlignment w:val="auto"/>
        <w:rPr>
          <w:rFonts w:hint="eastAsia" w:ascii="仿宋_GB2312" w:hAnsi="微软雅黑" w:eastAsia="仿宋_GB2312" w:cs="仿宋_GB2312"/>
          <w:color w:val="000000"/>
          <w:kern w:val="0"/>
          <w:sz w:val="24"/>
          <w:szCs w:val="24"/>
          <w:lang w:val="en-US" w:eastAsia="zh-CN" w:bidi="ar"/>
        </w:rPr>
      </w:pPr>
    </w:p>
    <w:p w14:paraId="59603293">
      <w:pPr>
        <w:pStyle w:val="7"/>
        <w:keepNext w:val="0"/>
        <w:keepLines w:val="0"/>
        <w:pageBreakBefore w:val="0"/>
        <w:kinsoku/>
        <w:wordWrap/>
        <w:overflowPunct/>
        <w:topLinePunct w:val="0"/>
        <w:autoSpaceDE/>
        <w:autoSpaceDN/>
        <w:bidi w:val="0"/>
        <w:adjustRightInd/>
        <w:snapToGrid/>
        <w:spacing w:before="0" w:beforeAutospacing="0" w:afterAutospacing="0" w:line="560" w:lineRule="exact"/>
        <w:ind w:firstLine="360" w:firstLineChars="150"/>
        <w:textAlignment w:val="auto"/>
        <w:rPr>
          <w:rFonts w:hint="eastAsia" w:ascii="仿宋_GB2312" w:hAnsi="微软雅黑" w:eastAsia="仿宋_GB2312" w:cs="仿宋_GB2312"/>
          <w:color w:val="000000"/>
          <w:kern w:val="0"/>
          <w:sz w:val="24"/>
          <w:szCs w:val="24"/>
          <w:lang w:val="en-US" w:eastAsia="zh-CN" w:bidi="ar"/>
        </w:rPr>
      </w:pPr>
    </w:p>
    <w:p w14:paraId="4A38F5E4">
      <w:pPr>
        <w:rPr>
          <w:rFonts w:hint="eastAsia" w:ascii="仿宋" w:hAnsi="仿宋" w:eastAsia="仿宋" w:cs="仿宋"/>
          <w:sz w:val="24"/>
          <w:szCs w:val="24"/>
        </w:rPr>
      </w:pPr>
    </w:p>
    <w:sectPr>
      <w:pgSz w:w="16838" w:h="11906" w:orient="landscape"/>
      <w:pgMar w:top="1230" w:right="1440" w:bottom="1117"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kzM2FlZjcxYjQ0Mzg3NjhlNjlmOWQ3ZDMyZmEwODEifQ=="/>
  </w:docVars>
  <w:rsids>
    <w:rsidRoot w:val="00B4708A"/>
    <w:rsid w:val="00555D3B"/>
    <w:rsid w:val="00614160"/>
    <w:rsid w:val="008D4ECB"/>
    <w:rsid w:val="009F4351"/>
    <w:rsid w:val="00B4708A"/>
    <w:rsid w:val="02803837"/>
    <w:rsid w:val="034653BA"/>
    <w:rsid w:val="07BF49E1"/>
    <w:rsid w:val="0E305146"/>
    <w:rsid w:val="11AD363C"/>
    <w:rsid w:val="13FD3274"/>
    <w:rsid w:val="1A734B0B"/>
    <w:rsid w:val="251406FA"/>
    <w:rsid w:val="2826784C"/>
    <w:rsid w:val="2A427505"/>
    <w:rsid w:val="437417C2"/>
    <w:rsid w:val="4CD242E9"/>
    <w:rsid w:val="4E922AC0"/>
    <w:rsid w:val="4F955003"/>
    <w:rsid w:val="54A26546"/>
    <w:rsid w:val="55981347"/>
    <w:rsid w:val="57783F89"/>
    <w:rsid w:val="59594035"/>
    <w:rsid w:val="5E1B4EE4"/>
    <w:rsid w:val="5F7A3A7D"/>
    <w:rsid w:val="5FB2390F"/>
    <w:rsid w:val="60203FEF"/>
    <w:rsid w:val="65B71508"/>
    <w:rsid w:val="68D30B09"/>
    <w:rsid w:val="691937F8"/>
    <w:rsid w:val="6AA67D9D"/>
    <w:rsid w:val="6C35413E"/>
    <w:rsid w:val="6C685E36"/>
    <w:rsid w:val="6E1641D4"/>
    <w:rsid w:val="710C4400"/>
    <w:rsid w:val="725325B9"/>
    <w:rsid w:val="75AA6994"/>
    <w:rsid w:val="796506D9"/>
    <w:rsid w:val="7AF010B3"/>
    <w:rsid w:val="7C1457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4"/>
    <w:basedOn w:val="1"/>
    <w:next w:val="1"/>
    <w:qFormat/>
    <w:uiPriority w:val="99"/>
    <w:pPr>
      <w:autoSpaceDE w:val="0"/>
      <w:autoSpaceDN w:val="0"/>
      <w:adjustRightInd w:val="0"/>
      <w:spacing w:before="120" w:after="120"/>
      <w:textAlignment w:val="baseline"/>
      <w:outlineLvl w:val="3"/>
    </w:pPr>
    <w:rPr>
      <w:rFonts w:ascii="宋体" w:hAnsi="Arial" w:eastAsia="楷体_GB2312" w:cs="宋体"/>
      <w:b/>
      <w:bCs/>
      <w:kern w:val="24"/>
      <w:sz w:val="24"/>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Normal Indent"/>
    <w:basedOn w:val="1"/>
    <w:semiHidden/>
    <w:qFormat/>
    <w:uiPriority w:val="0"/>
    <w:pPr>
      <w:wordWrap w:val="0"/>
      <w:overflowPunct w:val="0"/>
      <w:topLinePunct/>
      <w:adjustRightInd w:val="0"/>
      <w:spacing w:line="360" w:lineRule="auto"/>
      <w:ind w:firstLine="420" w:firstLineChars="200"/>
    </w:pPr>
    <w:rPr>
      <w:rFonts w:ascii="宋体" w:hAnsi="宋体"/>
      <w:kern w:val="28"/>
      <w:sz w:val="24"/>
      <w:szCs w:val="24"/>
    </w:rPr>
  </w:style>
  <w:style w:type="paragraph" w:styleId="4">
    <w:name w:val="Body Text"/>
    <w:basedOn w:val="1"/>
    <w:qFormat/>
    <w:uiPriority w:val="0"/>
    <w:pPr>
      <w:spacing w:after="120" w:afterLines="0" w:afterAutospacing="0"/>
    </w:pPr>
  </w:style>
  <w:style w:type="paragraph" w:styleId="5">
    <w:name w:val="footer"/>
    <w:basedOn w:val="1"/>
    <w:link w:val="12"/>
    <w:semiHidden/>
    <w:unhideWhenUsed/>
    <w:qFormat/>
    <w:uiPriority w:val="99"/>
    <w:pPr>
      <w:tabs>
        <w:tab w:val="center" w:pos="4153"/>
        <w:tab w:val="right" w:pos="8306"/>
      </w:tabs>
      <w:snapToGrid w:val="0"/>
      <w:jc w:val="left"/>
    </w:pPr>
    <w:rPr>
      <w:sz w:val="18"/>
      <w:szCs w:val="18"/>
    </w:rPr>
  </w:style>
  <w:style w:type="paragraph" w:styleId="6">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qFormat/>
    <w:uiPriority w:val="0"/>
    <w:pPr>
      <w:widowControl/>
      <w:spacing w:before="100" w:beforeAutospacing="1" w:after="100" w:afterAutospacing="1"/>
      <w:jc w:val="left"/>
    </w:pPr>
    <w:rPr>
      <w:rFonts w:ascii="宋体" w:hAnsi="宋体" w:cs="宋体"/>
      <w:kern w:val="0"/>
      <w:sz w:val="24"/>
      <w:szCs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页眉 Char"/>
    <w:basedOn w:val="10"/>
    <w:link w:val="6"/>
    <w:semiHidden/>
    <w:qFormat/>
    <w:uiPriority w:val="99"/>
    <w:rPr>
      <w:sz w:val="18"/>
      <w:szCs w:val="18"/>
    </w:rPr>
  </w:style>
  <w:style w:type="character" w:customStyle="1" w:styleId="12">
    <w:name w:val="页脚 Char"/>
    <w:basedOn w:val="10"/>
    <w:link w:val="5"/>
    <w:semiHidden/>
    <w:qFormat/>
    <w:uiPriority w:val="99"/>
    <w:rPr>
      <w:sz w:val="18"/>
      <w:szCs w:val="18"/>
    </w:rPr>
  </w:style>
  <w:style w:type="paragraph" w:customStyle="1" w:styleId="13">
    <w:name w:val="5文章(治)"/>
    <w:basedOn w:val="1"/>
    <w:qFormat/>
    <w:uiPriority w:val="0"/>
    <w:pPr>
      <w:spacing w:line="360" w:lineRule="auto"/>
      <w:ind w:firstLine="480" w:firstLineChars="200"/>
    </w:pPr>
    <w:rPr>
      <w:rFonts w:cs="Tahoma"/>
      <w:snapToGrid w:val="0"/>
      <w:sz w:val="24"/>
    </w:rPr>
  </w:style>
  <w:style w:type="paragraph" w:customStyle="1" w:styleId="14">
    <w:name w:val="报告正文"/>
    <w:basedOn w:val="1"/>
    <w:qFormat/>
    <w:uiPriority w:val="0"/>
    <w:pPr>
      <w:widowControl/>
      <w:adjustRightInd w:val="0"/>
      <w:snapToGrid w:val="0"/>
      <w:spacing w:line="360" w:lineRule="auto"/>
      <w:ind w:firstLine="480" w:firstLineChars="200"/>
    </w:pPr>
    <w:rPr>
      <w:rFonts w:asciiTheme="minorHAnsi" w:hAnsiTheme="minorHAnsi" w:eastAsiaTheme="minorEastAsia" w:cstheme="minorBidi"/>
      <w:kern w:val="24"/>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1489</Words>
  <Characters>1649</Characters>
  <Lines>18</Lines>
  <Paragraphs>5</Paragraphs>
  <TotalTime>1390</TotalTime>
  <ScaleCrop>false</ScaleCrop>
  <LinksUpToDate>false</LinksUpToDate>
  <CharactersWithSpaces>1675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2018-11-21T01:42:00Z</dcterms:created>
  <dc:creator>dell-01</dc:creator>
  <cp:lastModifiedBy>呵！</cp:lastModifiedBy>
  <cp:lastPrinted>2026-02-25T03:51:59Z</cp:lastPrinted>
  <dcterms:modified xsi:type="dcterms:W3CDTF">2026-02-26T02:58:00Z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4CE3336420D7497095CA9AEFE5FAF99A_13</vt:lpwstr>
  </property>
  <property fmtid="{D5CDD505-2E9C-101B-9397-08002B2CF9AE}" pid="4" name="KSOTemplateDocerSaveRecord">
    <vt:lpwstr>eyJoZGlkIjoiMjkzM2FlZjcxYjQ0Mzg3NjhlNjlmOWQ3ZDMyZmEwODEiLCJ1c2VySWQiOiI0MDY4NjcwNzcifQ==</vt:lpwstr>
  </property>
</Properties>
</file>