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C8E082">
      <w:pPr>
        <w:keepNext w:val="0"/>
        <w:keepLines w:val="0"/>
        <w:pageBreakBefore w:val="0"/>
        <w:kinsoku/>
        <w:wordWrap/>
        <w:topLinePunct w:val="0"/>
        <w:autoSpaceDE/>
        <w:autoSpaceDN/>
        <w:bidi w:val="0"/>
        <w:spacing w:line="560" w:lineRule="exact"/>
        <w:textAlignment w:val="auto"/>
        <w:rPr>
          <w:rFonts w:hint="eastAsia" w:ascii="黑体" w:hAnsi="黑体" w:eastAsia="黑体" w:cs="黑体"/>
          <w:b w:val="0"/>
          <w:kern w:val="2"/>
          <w:sz w:val="32"/>
          <w:szCs w:val="32"/>
          <w:lang w:val="en-US" w:eastAsia="zh-CN" w:bidi="ar-SA"/>
        </w:rPr>
      </w:pPr>
      <w:r>
        <w:rPr>
          <w:rFonts w:hint="eastAsia" w:ascii="黑体" w:hAnsi="黑体" w:eastAsia="黑体" w:cs="黑体"/>
          <w:b w:val="0"/>
          <w:kern w:val="2"/>
          <w:sz w:val="32"/>
          <w:szCs w:val="32"/>
          <w:lang w:val="en-US" w:eastAsia="zh-CN" w:bidi="ar-SA"/>
        </w:rPr>
        <w:t>附件2</w:t>
      </w:r>
    </w:p>
    <w:p w14:paraId="2571598C">
      <w:pPr>
        <w:keepNext w:val="0"/>
        <w:keepLines w:val="0"/>
        <w:pageBreakBefore w:val="0"/>
        <w:kinsoku/>
        <w:wordWrap/>
        <w:topLinePunct w:val="0"/>
        <w:autoSpaceDE/>
        <w:autoSpaceDN/>
        <w:bidi w:val="0"/>
        <w:spacing w:line="560" w:lineRule="exact"/>
        <w:jc w:val="center"/>
        <w:textAlignment w:val="auto"/>
        <w:rPr>
          <w:rFonts w:hint="eastAsia" w:ascii="方正小标宋简体" w:hAnsi="方正小标宋简体" w:eastAsia="方正小标宋简体" w:cs="方正小标宋简体"/>
          <w:b w:val="0"/>
          <w:color w:val="000000"/>
          <w:kern w:val="2"/>
          <w:sz w:val="44"/>
          <w:szCs w:val="44"/>
          <w:lang w:val="en-US" w:eastAsia="zh-CN" w:bidi="ar-SA"/>
        </w:rPr>
      </w:pPr>
      <w:r>
        <w:rPr>
          <w:rFonts w:hint="eastAsia" w:ascii="方正小标宋简体" w:hAnsi="方正小标宋简体" w:eastAsia="方正小标宋简体" w:cs="方正小标宋简体"/>
          <w:b w:val="0"/>
          <w:color w:val="000000"/>
          <w:kern w:val="2"/>
          <w:sz w:val="44"/>
          <w:szCs w:val="44"/>
          <w:lang w:val="en-US" w:eastAsia="zh-CN" w:bidi="ar-SA"/>
        </w:rPr>
        <w:t>永定区2026年医疗器械监管工作要点</w:t>
      </w:r>
    </w:p>
    <w:p w14:paraId="5C46B26F">
      <w:pPr>
        <w:keepNext w:val="0"/>
        <w:keepLines w:val="0"/>
        <w:pageBreakBefore w:val="0"/>
        <w:kinsoku/>
        <w:wordWrap/>
        <w:topLinePunct w:val="0"/>
        <w:autoSpaceDE/>
        <w:autoSpaceDN/>
        <w:bidi w:val="0"/>
        <w:spacing w:line="560" w:lineRule="exact"/>
        <w:textAlignment w:val="auto"/>
        <w:rPr>
          <w:rFonts w:hint="eastAsia"/>
        </w:rPr>
      </w:pPr>
    </w:p>
    <w:p w14:paraId="10EF1E75">
      <w:pPr>
        <w:keepNext w:val="0"/>
        <w:keepLines w:val="0"/>
        <w:pageBreakBefore w:val="0"/>
        <w:widowControl/>
        <w:numPr>
          <w:ilvl w:val="-1"/>
          <w:numId w:val="0"/>
        </w:numPr>
        <w:kinsoku/>
        <w:wordWrap/>
        <w:topLinePunct w:val="0"/>
        <w:autoSpaceDE/>
        <w:autoSpaceDN/>
        <w:bidi w:val="0"/>
        <w:spacing w:line="560" w:lineRule="exact"/>
        <w:ind w:left="0" w:leftChars="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一、强化全链条质量管控，筑牢质量安全根基</w:t>
      </w:r>
    </w:p>
    <w:p w14:paraId="2D2D467D">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（一）经营环节</w:t>
      </w:r>
    </w:p>
    <w:p w14:paraId="0450B2E5">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1.规范备案许可工作，提升行政审批效率。</w:t>
      </w:r>
      <w:r>
        <w:rPr>
          <w:rFonts w:hint="eastAsia" w:ascii="Times New Roman" w:hAnsi="Times New Roman" w:eastAsia="仿宋_GB2312" w:cs="Times New Roman"/>
          <w:sz w:val="32"/>
          <w:szCs w:val="32"/>
        </w:rPr>
        <w:t>推动医疗器械行政服务事项实现“申请—受理—审查—办结—出证”实现全流程网办，探索“证前指导”、“容缺受理”模式，进一步提升医疗器械经营许可、第二类医疗器械备案等事项审批质效。</w:t>
      </w:r>
    </w:p>
    <w:p w14:paraId="5C91B096">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2.推动检查规范化，提升监管质效。</w:t>
      </w:r>
      <w:r>
        <w:rPr>
          <w:rFonts w:hint="eastAsia" w:ascii="Times New Roman" w:hAnsi="Times New Roman" w:eastAsia="仿宋_GB2312" w:cs="Times New Roman"/>
          <w:sz w:val="32"/>
          <w:szCs w:val="32"/>
        </w:rPr>
        <w:t>各监管所要根据区局随机抽取的医疗器械检查名单，合理制定年度检查计划，并按照《关于规范药监行政检查系统医疗器械模块录入工作的通知》要求录入药监行政检查系统。深入实施省局“精透监管”工程，以穿透式检查精准发现深层次问题和风险，将有限监管力量集中投向关键风险点，加大对经营过期、无证医疗器械等违法违规行为的打击力度，切实将风险消除在萌芽状态。重点加强冷链医疗器械和医疗器械第三方物流企业监管，规范流通领域购销行为，可试点开展跨区域交叉检查，打破地域监管壁垒，避免监管盲区和重复检查，提升监管公正性和专业性。</w:t>
      </w:r>
    </w:p>
    <w:p w14:paraId="6C0DE11D">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3.加强经营主体培训交流，提升经营者主体责任意识。</w:t>
      </w:r>
      <w:r>
        <w:rPr>
          <w:rFonts w:hint="eastAsia" w:ascii="Times New Roman" w:hAnsi="Times New Roman" w:eastAsia="仿宋_GB2312" w:cs="Times New Roman"/>
          <w:sz w:val="32"/>
          <w:szCs w:val="32"/>
        </w:rPr>
        <w:t>各监管所要开展经营企业合规培训，推动面向企业的精准普法，引导行业协会发挥桥梁纽带作用。适时向经营主体推送典型案例、舆情焦点等警示内容，提醒经营主体履行进货查验等义务。</w:t>
      </w:r>
    </w:p>
    <w:p w14:paraId="69C842AE">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（二）使用环节</w:t>
      </w:r>
    </w:p>
    <w:p w14:paraId="2D751B84">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1.推进UDI追溯建设。</w:t>
      </w:r>
      <w:r>
        <w:rPr>
          <w:rFonts w:hint="eastAsia" w:ascii="Times New Roman" w:hAnsi="Times New Roman" w:eastAsia="仿宋_GB2312" w:cs="Times New Roman"/>
          <w:sz w:val="32"/>
          <w:szCs w:val="32"/>
        </w:rPr>
        <w:t>协同推进医疗器械唯一标识（UDI）系统建设，积极探索“三医联动”依职责分步推进UDI的应用，配合健全医疗机构的医疗器械唯一标识系统。</w:t>
      </w:r>
    </w:p>
    <w:p w14:paraId="20EAFA2D">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2.强化重点领域监管。</w:t>
      </w:r>
      <w:r>
        <w:rPr>
          <w:rFonts w:hint="eastAsia" w:ascii="Times New Roman" w:hAnsi="Times New Roman" w:eastAsia="仿宋_GB2312" w:cs="Times New Roman"/>
          <w:sz w:val="32"/>
          <w:szCs w:val="32"/>
        </w:rPr>
        <w:t>各监管所要加大对第三方医学检验中心、医疗美容机构等重点使用单位的检查力度，重点核查医疗器械采购验收、储存养护、使用管理、不良事件报告等环节，规范医疗机构医疗器械使用质量管理，保障临床用械安全。</w:t>
      </w:r>
    </w:p>
    <w:p w14:paraId="3A1C70FE">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b/>
          <w:bCs/>
          <w:sz w:val="32"/>
          <w:szCs w:val="32"/>
        </w:rPr>
        <w:t>3.持续推进“清规”行动。</w:t>
      </w:r>
      <w:r>
        <w:rPr>
          <w:rFonts w:hint="eastAsia" w:ascii="Times New Roman" w:hAnsi="Times New Roman" w:eastAsia="仿宋_GB2312" w:cs="Times New Roman"/>
          <w:sz w:val="32"/>
          <w:szCs w:val="32"/>
        </w:rPr>
        <w:t>重点核查医疗器械采购验收、储存养护、使用管理、不良事件报告等环节，规范医疗机构医疗器械使用质量管理，保障临床用械安全；加强对医疗机构的监督指导，进一步提升“规范化”建成率。</w:t>
      </w:r>
    </w:p>
    <w:p w14:paraId="17B22B99">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（三）网络销售环节</w:t>
      </w:r>
    </w:p>
    <w:p w14:paraId="1C0B5D2B">
      <w:pPr>
        <w:keepNext w:val="0"/>
        <w:keepLines w:val="0"/>
        <w:pageBreakBefore w:val="0"/>
        <w:widowControl/>
        <w:kinsoku/>
        <w:wordWrap/>
        <w:topLinePunct w:val="0"/>
        <w:autoSpaceDE/>
        <w:autoSpaceDN/>
        <w:bidi w:val="0"/>
        <w:spacing w:line="560" w:lineRule="exact"/>
        <w:ind w:firstLine="640" w:firstLineChars="200"/>
        <w:jc w:val="left"/>
        <w:textAlignment w:val="auto"/>
        <w:rPr>
          <w:rFonts w:hint="eastAsia" w:ascii="黑体" w:hAnsi="黑体" w:eastAsia="黑体" w:cs="黑体"/>
          <w:sz w:val="32"/>
          <w:szCs w:val="32"/>
        </w:rPr>
      </w:pPr>
      <w:r>
        <w:rPr>
          <w:rFonts w:hint="eastAsia" w:ascii="Times New Roman" w:hAnsi="Times New Roman" w:eastAsia="仿宋_GB2312" w:cs="Times New Roman"/>
          <w:sz w:val="32"/>
          <w:szCs w:val="32"/>
        </w:rPr>
        <w:t>各监管所要对国家局和省局网络监测平台推送、自行检查发现、群众投诉举报的涉网违法违规线索，要及时依法调查处置。聚焦凝胶贴敷、医疗美容、口腔、眼科等问题集中领域，严厉打击无证经营、虚假宣传、违规销售等违法违规行为，规范网络销售秩序。</w:t>
      </w:r>
    </w:p>
    <w:p w14:paraId="4427FFAD">
      <w:pPr>
        <w:keepNext w:val="0"/>
        <w:keepLines w:val="0"/>
        <w:pageBreakBefore w:val="0"/>
        <w:widowControl/>
        <w:numPr>
          <w:ilvl w:val="-1"/>
          <w:numId w:val="0"/>
        </w:numPr>
        <w:kinsoku/>
        <w:wordWrap/>
        <w:topLinePunct w:val="0"/>
        <w:autoSpaceDE/>
        <w:autoSpaceDN/>
        <w:bidi w:val="0"/>
        <w:spacing w:line="560" w:lineRule="exact"/>
        <w:ind w:left="0" w:leftChars="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二、完善风险管控体系，提升精准监管效能</w:t>
      </w:r>
    </w:p>
    <w:p w14:paraId="7C47FB2D">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rPr>
        <w:t>（一）健全风险会商机制。</w:t>
      </w:r>
      <w:r>
        <w:rPr>
          <w:rFonts w:hint="eastAsia" w:ascii="Times New Roman" w:hAnsi="Times New Roman" w:eastAsia="仿宋_GB2312" w:cs="Times New Roman"/>
          <w:sz w:val="32"/>
          <w:szCs w:val="32"/>
        </w:rPr>
        <w:t>根据实际情况区局原则上每季度开展医疗器械安全形势分析和风险会商，重点分析备案许可、检查抽检、监测评价、网络监测、舆情监测、投诉举报等环节出现的共性风险和突出问题，对风险隐患实行清单化管理、闭环式处置，坚决防范系统性、区域性风险。</w:t>
      </w:r>
    </w:p>
    <w:p w14:paraId="72C240D5">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rPr>
        <w:t>（二）及时处置抽检不合格产品。</w:t>
      </w:r>
      <w:r>
        <w:rPr>
          <w:rFonts w:hint="eastAsia" w:ascii="Times New Roman" w:hAnsi="Times New Roman" w:eastAsia="仿宋_GB2312" w:cs="Times New Roman"/>
          <w:sz w:val="32"/>
          <w:szCs w:val="32"/>
        </w:rPr>
        <w:t>各监管所要高度重视对不符合规定医疗器械产品检验报告的响应，依法依规组织完成结果送达、核查处置等各项相关工作。</w:t>
      </w:r>
    </w:p>
    <w:p w14:paraId="43B186BF">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rPr>
        <w:t>（三）加大监测处置力度。</w:t>
      </w:r>
      <w:r>
        <w:rPr>
          <w:rFonts w:hint="eastAsia" w:ascii="Times New Roman" w:hAnsi="Times New Roman" w:eastAsia="仿宋_GB2312" w:cs="Times New Roman"/>
          <w:sz w:val="32"/>
          <w:szCs w:val="32"/>
        </w:rPr>
        <w:t>要加大不良事件监测和处置力度，强化对哨点医院管理和指导，推进重点领域产品主动监测。</w:t>
      </w:r>
    </w:p>
    <w:p w14:paraId="5F87C66D">
      <w:pPr>
        <w:keepNext w:val="0"/>
        <w:keepLines w:val="0"/>
        <w:pageBreakBefore w:val="0"/>
        <w:widowControl/>
        <w:numPr>
          <w:ilvl w:val="-1"/>
          <w:numId w:val="0"/>
        </w:numPr>
        <w:kinsoku/>
        <w:wordWrap/>
        <w:topLinePunct w:val="0"/>
        <w:autoSpaceDE/>
        <w:autoSpaceDN/>
        <w:bidi w:val="0"/>
        <w:spacing w:line="560" w:lineRule="exact"/>
        <w:ind w:left="0" w:leftChars="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三、夯实监管基础建设，提升综合监管能力</w:t>
      </w:r>
    </w:p>
    <w:p w14:paraId="782B8A94">
      <w:pPr>
        <w:keepNext w:val="0"/>
        <w:keepLines w:val="0"/>
        <w:pageBreakBefore w:val="0"/>
        <w:widowControl/>
        <w:kinsoku/>
        <w:wordWrap/>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（一）持续加大对基层医疗器械监管人员培训力度，通过交叉检查现场指导和集中授课的方式提升基层监管人员专业能力；</w:t>
      </w:r>
    </w:p>
    <w:p w14:paraId="6E9022D7">
      <w:pPr>
        <w:keepNext w:val="0"/>
        <w:keepLines w:val="0"/>
        <w:pageBreakBefore w:val="0"/>
        <w:widowControl/>
        <w:kinsoku/>
        <w:wordWrap/>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（二）按照市局制定的医疗器械经营环节检查指引，着力解决基层反映强烈的不懂看、不会查等问题；</w:t>
      </w:r>
    </w:p>
    <w:p w14:paraId="59CB2AB0">
      <w:pPr>
        <w:keepNext w:val="0"/>
        <w:keepLines w:val="0"/>
        <w:pageBreakBefore w:val="0"/>
        <w:widowControl/>
        <w:kinsoku/>
        <w:wordWrap/>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（三）配合市局做好全市医疗器械监管专家库建设，提升重大问题研判和跨区域人才支援能力。</w:t>
      </w:r>
    </w:p>
    <w:p w14:paraId="2DB4FD2C">
      <w:pPr>
        <w:keepNext w:val="0"/>
        <w:keepLines w:val="0"/>
        <w:pageBreakBefore w:val="0"/>
        <w:widowControl/>
        <w:numPr>
          <w:ilvl w:val="-1"/>
          <w:numId w:val="0"/>
        </w:numPr>
        <w:kinsoku/>
        <w:wordWrap/>
        <w:topLinePunct w:val="0"/>
        <w:autoSpaceDE/>
        <w:autoSpaceDN/>
        <w:bidi w:val="0"/>
        <w:spacing w:line="560" w:lineRule="exact"/>
        <w:ind w:left="0" w:leftChars="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四、健全协同治理机制，形成部门联动合力</w:t>
      </w:r>
    </w:p>
    <w:p w14:paraId="4874DA53">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rPr>
        <w:t>（一）强化合规治理。</w:t>
      </w:r>
      <w:r>
        <w:rPr>
          <w:rFonts w:hint="eastAsia" w:ascii="Times New Roman" w:hAnsi="Times New Roman" w:eastAsia="仿宋_GB2312" w:cs="Times New Roman"/>
          <w:sz w:val="32"/>
          <w:szCs w:val="32"/>
        </w:rPr>
        <w:t>贯彻落实国家药监局等12部门《关于加强医疗器械购销领域合规治理的意见》，完善部门协同治理机制，引导医疗器械购销企业、医疗机构及其从业人员诚信守法、合规经营。</w:t>
      </w:r>
    </w:p>
    <w:p w14:paraId="69590774">
      <w:pPr>
        <w:keepNext w:val="0"/>
        <w:keepLines w:val="0"/>
        <w:pageBreakBefore w:val="0"/>
        <w:widowControl/>
        <w:kinsoku/>
        <w:wordWrap/>
        <w:topLinePunct w:val="0"/>
        <w:autoSpaceDE/>
        <w:autoSpaceDN/>
        <w:bidi w:val="0"/>
        <w:spacing w:line="560" w:lineRule="exact"/>
        <w:ind w:firstLine="643" w:firstLineChars="200"/>
        <w:jc w:val="left"/>
        <w:textAlignment w:val="auto"/>
        <w:rPr>
          <w:rFonts w:hint="eastAsia" w:ascii="Times New Roman" w:hAnsi="Times New Roman" w:eastAsia="仿宋_GB2312" w:cs="Times New Roman"/>
          <w:sz w:val="32"/>
          <w:szCs w:val="32"/>
        </w:rPr>
      </w:pPr>
      <w:r>
        <w:rPr>
          <w:rFonts w:hint="eastAsia" w:ascii="楷体_GB2312" w:hAnsi="楷体_GB2312" w:eastAsia="楷体_GB2312" w:cs="楷体_GB2312"/>
          <w:b/>
          <w:bCs/>
          <w:sz w:val="32"/>
          <w:szCs w:val="32"/>
        </w:rPr>
        <w:t>（二）深化“三医协同”融合。</w:t>
      </w:r>
      <w:r>
        <w:rPr>
          <w:rFonts w:hint="eastAsia" w:ascii="Times New Roman" w:hAnsi="Times New Roman" w:eastAsia="仿宋_GB2312" w:cs="Times New Roman"/>
          <w:sz w:val="32"/>
          <w:szCs w:val="32"/>
        </w:rPr>
        <w:t>加</w:t>
      </w:r>
      <w:bookmarkStart w:id="0" w:name="_GoBack"/>
      <w:bookmarkEnd w:id="0"/>
      <w:r>
        <w:rPr>
          <w:rFonts w:hint="eastAsia" w:ascii="Times New Roman" w:hAnsi="Times New Roman" w:eastAsia="仿宋_GB2312" w:cs="Times New Roman"/>
          <w:sz w:val="32"/>
          <w:szCs w:val="32"/>
        </w:rPr>
        <w:t>强与卫健、医保开展数据和信息交流，多元协同管控风险。深化“三医同考”质量共治机制，形成联动合力。</w:t>
      </w:r>
    </w:p>
    <w:p w14:paraId="7AD23B10">
      <w:pPr>
        <w:keepNext w:val="0"/>
        <w:keepLines w:val="0"/>
        <w:pageBreakBefore w:val="0"/>
        <w:widowControl/>
        <w:numPr>
          <w:ilvl w:val="-1"/>
          <w:numId w:val="0"/>
        </w:numPr>
        <w:kinsoku/>
        <w:wordWrap/>
        <w:topLinePunct w:val="0"/>
        <w:autoSpaceDE/>
        <w:autoSpaceDN/>
        <w:bidi w:val="0"/>
        <w:spacing w:line="560" w:lineRule="exact"/>
        <w:ind w:left="0" w:leftChars="0" w:firstLine="640" w:firstLineChars="200"/>
        <w:jc w:val="left"/>
        <w:textAlignment w:val="auto"/>
        <w:rPr>
          <w:rFonts w:hint="eastAsia" w:ascii="黑体" w:hAnsi="黑体" w:eastAsia="黑体" w:cs="黑体"/>
          <w:sz w:val="32"/>
          <w:szCs w:val="32"/>
        </w:rPr>
      </w:pPr>
      <w:r>
        <w:rPr>
          <w:rFonts w:hint="eastAsia" w:ascii="黑体" w:hAnsi="黑体" w:eastAsia="黑体" w:cs="黑体"/>
          <w:sz w:val="32"/>
          <w:szCs w:val="32"/>
        </w:rPr>
        <w:t>五、加大帮促服务力度，促进产业高质量发展</w:t>
      </w:r>
    </w:p>
    <w:p w14:paraId="1DE8AC6F">
      <w:pPr>
        <w:keepNext w:val="0"/>
        <w:keepLines w:val="0"/>
        <w:pageBreakBefore w:val="0"/>
        <w:widowControl/>
        <w:kinsoku/>
        <w:wordWrap/>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各监管所要加大宣传力度，提高国家药监局“春雨行动”知晓度，帮助支持医疗机构或医务人员、医疗器械企业或投资人在“福建省医疗器械临床研究成果转化平台”注册、对接，推动医疗器械从“临床创意”向“上市产品”转化。</w:t>
      </w:r>
    </w:p>
    <w:p w14:paraId="01A8ABEE">
      <w:pPr>
        <w:keepNext w:val="0"/>
        <w:keepLines w:val="0"/>
        <w:pageBreakBefore w:val="0"/>
        <w:widowControl/>
        <w:kinsoku/>
        <w:wordWrap/>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sz w:val="32"/>
          <w:szCs w:val="32"/>
        </w:rPr>
      </w:pPr>
    </w:p>
    <w:p w14:paraId="4AB71994">
      <w:pPr>
        <w:keepNext w:val="0"/>
        <w:keepLines w:val="0"/>
        <w:pageBreakBefore w:val="0"/>
        <w:widowControl/>
        <w:kinsoku/>
        <w:wordWrap/>
        <w:topLinePunct w:val="0"/>
        <w:autoSpaceDE/>
        <w:autoSpaceDN/>
        <w:bidi w:val="0"/>
        <w:spacing w:line="560" w:lineRule="exact"/>
        <w:ind w:firstLine="640" w:firstLineChars="200"/>
        <w:jc w:val="left"/>
        <w:textAlignment w:val="auto"/>
        <w:rPr>
          <w:rFonts w:hint="eastAsia" w:ascii="Times New Roman" w:hAnsi="Times New Roman" w:eastAsia="仿宋_GB2312" w:cs="Times New Roman"/>
          <w:sz w:val="32"/>
          <w:szCs w:val="32"/>
        </w:rPr>
      </w:pPr>
    </w:p>
    <w:p w14:paraId="6090C8C6">
      <w:pPr>
        <w:overflowPunct w:val="0"/>
        <w:adjustRightInd w:val="0"/>
        <w:snapToGrid w:val="0"/>
        <w:spacing w:line="560" w:lineRule="exact"/>
        <w:ind w:firstLine="420" w:firstLineChars="200"/>
        <w:rPr>
          <w:rFonts w:eastAsia="宋体"/>
        </w:rPr>
        <w:pPrChange w:id="0" w:author="蓝水金" w:date="2026-06-02T18:47:30Z">
          <w:pPr>
            <w:overflowPunct w:val="0"/>
            <w:adjustRightInd w:val="0"/>
            <w:snapToGrid w:val="0"/>
            <w:spacing w:line="600" w:lineRule="exact"/>
          </w:pPr>
        </w:pPrChange>
      </w:pP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A9B78">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C63577">
                          <w:pPr>
                            <w:pStyle w:val="9"/>
                            <w:rPr>
                              <w:rFonts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3C63577">
                    <w:pPr>
                      <w:pStyle w:val="9"/>
                      <w:rPr>
                        <w:rFonts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蓝水金">
    <w15:presenceInfo w15:providerId="None" w15:userId="蓝水金"/>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F37F25"/>
    <w:rsid w:val="002E0D78"/>
    <w:rsid w:val="00403E9F"/>
    <w:rsid w:val="004541A8"/>
    <w:rsid w:val="00543C4D"/>
    <w:rsid w:val="00C11DEA"/>
    <w:rsid w:val="00C2200D"/>
    <w:rsid w:val="00E3208A"/>
    <w:rsid w:val="12284BCD"/>
    <w:rsid w:val="1C2713ED"/>
    <w:rsid w:val="23533189"/>
    <w:rsid w:val="30417316"/>
    <w:rsid w:val="38E26DA6"/>
    <w:rsid w:val="3EE2716D"/>
    <w:rsid w:val="40F37F25"/>
    <w:rsid w:val="438364F6"/>
    <w:rsid w:val="43E51EA6"/>
    <w:rsid w:val="51EA61ED"/>
    <w:rsid w:val="67351F0A"/>
    <w:rsid w:val="67CE6F5C"/>
    <w:rsid w:val="77877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unhideWhenUsed/>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1"/>
    <w:unhideWhenUsed/>
    <w:qFormat/>
    <w:uiPriority w:val="99"/>
    <w:pPr>
      <w:spacing w:after="120"/>
      <w:ind w:left="420" w:leftChars="200"/>
    </w:pPr>
  </w:style>
  <w:style w:type="paragraph" w:styleId="5">
    <w:name w:val="Body Text"/>
    <w:basedOn w:val="1"/>
    <w:semiHidden/>
    <w:qFormat/>
    <w:uiPriority w:val="0"/>
    <w:pPr>
      <w:kinsoku w:val="0"/>
      <w:autoSpaceDE w:val="0"/>
      <w:autoSpaceDN w:val="0"/>
      <w:adjustRightInd w:val="0"/>
      <w:snapToGrid w:val="0"/>
      <w:textAlignment w:val="baseline"/>
    </w:pPr>
    <w:rPr>
      <w:rFonts w:ascii="Arial" w:hAnsi="Arial" w:eastAsia="Arial" w:cs="Arial"/>
      <w:snapToGrid w:val="0"/>
      <w:color w:val="000000"/>
      <w:szCs w:val="21"/>
      <w:lang w:eastAsia="en-US"/>
    </w:rPr>
  </w:style>
  <w:style w:type="paragraph" w:styleId="6">
    <w:name w:val="Body Text Indent 2"/>
    <w:basedOn w:val="1"/>
    <w:next w:val="2"/>
    <w:qFormat/>
    <w:uiPriority w:val="0"/>
    <w:pPr>
      <w:spacing w:after="120" w:line="480" w:lineRule="auto"/>
      <w:ind w:left="420" w:leftChars="200"/>
    </w:pPr>
    <w:rPr>
      <w:rFonts w:eastAsia="仿宋"/>
    </w:rPr>
  </w:style>
  <w:style w:type="paragraph" w:styleId="7">
    <w:name w:val="endnote text"/>
    <w:basedOn w:val="1"/>
    <w:unhideWhenUsed/>
    <w:qFormat/>
    <w:uiPriority w:val="99"/>
    <w:pPr>
      <w:snapToGrid w:val="0"/>
      <w:jc w:val="left"/>
    </w:pPr>
    <w:rPr>
      <w:rFonts w:ascii="Times New Roman" w:hAnsi="Times New Roman" w:eastAsia="宋体" w:cs="Times New Roman"/>
    </w:rPr>
  </w:style>
  <w:style w:type="paragraph" w:styleId="8">
    <w:name w:val="Balloon Text"/>
    <w:basedOn w:val="1"/>
    <w:next w:val="1"/>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next w:val="5"/>
    <w:qFormat/>
    <w:uiPriority w:val="0"/>
    <w:pPr>
      <w:tabs>
        <w:tab w:val="center" w:pos="4153"/>
        <w:tab w:val="right" w:pos="8306"/>
      </w:tabs>
      <w:snapToGrid w:val="0"/>
      <w:jc w:val="center"/>
    </w:pPr>
    <w:rPr>
      <w:sz w:val="18"/>
      <w:szCs w:val="18"/>
    </w:rPr>
  </w:style>
  <w:style w:type="paragraph" w:styleId="11">
    <w:name w:val="Body Text 2"/>
    <w:basedOn w:val="1"/>
    <w:qFormat/>
    <w:uiPriority w:val="0"/>
    <w:pPr>
      <w:spacing w:after="120" w:line="480" w:lineRule="auto"/>
    </w:pPr>
    <w:rPr>
      <w:rFonts w:ascii="Times New Roman" w:hAnsi="Times New Roman" w:eastAsia="宋体" w:cs="Times New Roman"/>
      <w:sz w:val="32"/>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character" w:styleId="16">
    <w:name w:val="page number"/>
    <w:basedOn w:val="15"/>
    <w:qFormat/>
    <w:uiPriority w:val="0"/>
  </w:style>
  <w:style w:type="character" w:customStyle="1" w:styleId="17">
    <w:name w:val="样式 仿宋_GB2312"/>
    <w:basedOn w:val="15"/>
    <w:qFormat/>
    <w:uiPriority w:val="0"/>
    <w:rPr>
      <w:rFonts w:ascii="仿宋_GB2312" w:hAnsi="仿宋_GB2312" w:eastAsia="仿宋_GB2312"/>
      <w:sz w:val="32"/>
    </w:rPr>
  </w:style>
  <w:style w:type="paragraph" w:customStyle="1" w:styleId="18">
    <w:name w:val="公文正文"/>
    <w:basedOn w:val="1"/>
    <w:qFormat/>
    <w:uiPriority w:val="0"/>
    <w:rPr>
      <w:rFonts w:eastAsia="仿宋_GB2312"/>
      <w:sz w:val="32"/>
      <w:szCs w:val="3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1682</Words>
  <Characters>1701</Characters>
  <Lines>11</Lines>
  <Paragraphs>3</Paragraphs>
  <TotalTime>1</TotalTime>
  <ScaleCrop>false</ScaleCrop>
  <LinksUpToDate>false</LinksUpToDate>
  <CharactersWithSpaces>1707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2026-06-01T08:52:00Z</dcterms:created>
  <dc:creator>范媛媛</dc:creator>
  <cp:lastModifiedBy>北城以北</cp:lastModifiedBy>
  <dcterms:modified xsi:type="dcterms:W3CDTF">2026-06-22T02:55:44Z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D49FFF5D5B7C4613BD6D6EC1B1B1EA96</vt:lpwstr>
  </property>
  <property fmtid="{D5CDD505-2E9C-101B-9397-08002B2CF9AE}" pid="4" name="KSOTemplateDocerSaveRecord">
    <vt:lpwstr>eyJoZGlkIjoiNDNjMDYxNDRlMDJhNjM1NjZjYjY0MGE5NzQ1MzRhYTgiLCJ1c2VySWQiOiIzNDIxNTUxNzYifQ==</vt:lpwstr>
  </property>
</Properties>
</file>