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jc w:val="center"/>
        <w:rPr>
          <w:rFonts w:ascii="方正小标宋简体" w:hAnsi="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福建省地方标准《化妆品流通环节质量管理</w:t>
      </w:r>
    </w:p>
    <w:p>
      <w:pPr>
        <w:jc w:val="center"/>
      </w:pPr>
      <w:r>
        <w:rPr>
          <w:rFonts w:hint="eastAsia" w:ascii="方正小标宋简体" w:hAnsi="宋体" w:eastAsia="方正小标宋简体" w:cs="宋体"/>
          <w:color w:val="000000"/>
          <w:kern w:val="0"/>
          <w:sz w:val="40"/>
          <w:szCs w:val="40"/>
        </w:rPr>
        <w:t>通则》实施情况统计表</w:t>
      </w:r>
    </w:p>
    <w:tbl>
      <w:tblPr>
        <w:tblStyle w:val="2"/>
        <w:tblW w:w="48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283"/>
        <w:gridCol w:w="124"/>
        <w:gridCol w:w="3991"/>
        <w:gridCol w:w="1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17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填报单位：                </w:t>
            </w:r>
          </w:p>
        </w:tc>
        <w:tc>
          <w:tcPr>
            <w:tcW w:w="243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填报日期：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385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1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5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风险分级</w:t>
            </w: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辖区全部化妆品经营者（家）</w:t>
            </w:r>
          </w:p>
        </w:tc>
        <w:tc>
          <w:tcPr>
            <w:tcW w:w="11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完成风险分级的经营者（家）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其中</w:t>
            </w: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A级经营者（家）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B级经营者（家）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C级经营者（家）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D级经营者（家）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风险隐患排查</w:t>
            </w: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检查经营者/网络经营者（家）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发现问题产品/网络经营问题产品品种（个）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责令整改经营者/网络经营者（家）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约谈经营者/网络经营者（家）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完成整改经营者/网络经营者（家）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案件查办</w:t>
            </w: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立案调查案件（起）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其中</w:t>
            </w: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涉及儿童化妆品案件（起）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涉及网络化妆品案件（起）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案值（万元）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其中</w:t>
            </w: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儿童化妆品案值（万元）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网络化妆品案值（万元）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案件罚没金额（万元）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其中</w:t>
            </w: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儿童化妆品案件罚没金额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网络化妆品案件罚没金额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查扣问题产品（盒/瓶）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处罚到人案件（起）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处罚到人人数（个）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移交公安部门案件（起）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移交其他部门案件（起）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公开典型案例（起）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5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宣传培训</w:t>
            </w: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举办培训（场）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培训人数（人次）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举办宣传活动（场）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受众人数（人次）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发放/张贴宣传材料（份）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发放/张贴监管告知书（份）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签署（公开）经营承诺的经营者（家）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53"/>
    <w:rsid w:val="00562453"/>
    <w:rsid w:val="009E1A33"/>
    <w:rsid w:val="40B6476B"/>
    <w:rsid w:val="5B3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</Words>
  <Characters>520</Characters>
  <Lines>4</Lines>
  <Paragraphs>1</Paragraphs>
  <TotalTime>1</TotalTime>
  <ScaleCrop>false</ScaleCrop>
  <LinksUpToDate>false</LinksUpToDate>
  <CharactersWithSpaces>610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2026-02-05T03:49:00Z</dcterms:created>
  <dc:creator>阙超</dc:creator>
  <cp:lastModifiedBy>蓝水金</cp:lastModifiedBy>
  <dcterms:modified xsi:type="dcterms:W3CDTF">2026-03-12T02:03:43Z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