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0" w:line="500" w:lineRule="exact"/>
        <w:ind w:left="0" w:leftChars="0" w:firstLine="0" w:firstLineChars="0"/>
        <w:jc w:val="center"/>
        <w:textAlignment w:val="auto"/>
        <w:rPr>
          <w:rFonts w:ascii="仿宋_GB2312" w:hAnsi="宋体" w:eastAsia="仿宋_GB2312"/>
          <w:b/>
          <w:color w:val="auto"/>
          <w:sz w:val="44"/>
          <w:szCs w:val="44"/>
        </w:rPr>
      </w:pPr>
    </w:p>
    <w:p>
      <w:pPr>
        <w:keepNext w:val="0"/>
        <w:keepLines w:val="0"/>
        <w:pageBreakBefore w:val="0"/>
        <w:widowControl w:val="0"/>
        <w:kinsoku/>
        <w:wordWrap/>
        <w:overflowPunct/>
        <w:topLinePunct w:val="0"/>
        <w:autoSpaceDE/>
        <w:autoSpaceDN/>
        <w:bidi w:val="0"/>
        <w:adjustRightInd/>
        <w:snapToGrid/>
        <w:spacing w:after="0" w:line="500" w:lineRule="exact"/>
        <w:ind w:left="0" w:leftChars="0" w:firstLine="0" w:firstLineChars="0"/>
        <w:jc w:val="center"/>
        <w:textAlignment w:val="auto"/>
        <w:rPr>
          <w:rFonts w:ascii="仿宋_GB2312" w:hAnsi="宋体" w:eastAsia="仿宋_GB2312"/>
          <w:b/>
          <w:color w:val="auto"/>
          <w:sz w:val="44"/>
          <w:szCs w:val="44"/>
        </w:rPr>
      </w:pPr>
    </w:p>
    <w:p>
      <w:pPr>
        <w:pStyle w:val="6"/>
        <w:keepNext w:val="0"/>
        <w:keepLines w:val="0"/>
        <w:pageBreakBefore w:val="0"/>
        <w:widowControl w:val="0"/>
        <w:kinsoku/>
        <w:wordWrap/>
        <w:overflowPunct/>
        <w:topLinePunct w:val="0"/>
        <w:autoSpaceDE/>
        <w:autoSpaceDN/>
        <w:bidi w:val="0"/>
        <w:adjustRightInd/>
        <w:snapToGrid/>
        <w:spacing w:after="0" w:line="500" w:lineRule="exact"/>
        <w:ind w:firstLine="0" w:firstLineChars="0"/>
        <w:jc w:val="center"/>
        <w:textAlignment w:val="auto"/>
        <w:rPr>
          <w:color w:val="auto"/>
        </w:rPr>
      </w:pPr>
    </w:p>
    <w:p>
      <w:pPr>
        <w:keepNext w:val="0"/>
        <w:keepLines w:val="0"/>
        <w:pageBreakBefore w:val="0"/>
        <w:widowControl w:val="0"/>
        <w:kinsoku/>
        <w:wordWrap/>
        <w:overflowPunct/>
        <w:topLinePunct w:val="0"/>
        <w:autoSpaceDE/>
        <w:autoSpaceDN/>
        <w:bidi w:val="0"/>
        <w:adjustRightInd/>
        <w:snapToGrid/>
        <w:spacing w:after="0" w:line="500" w:lineRule="exact"/>
        <w:ind w:left="0" w:leftChars="0" w:firstLine="0" w:firstLineChars="0"/>
        <w:jc w:val="center"/>
        <w:textAlignment w:val="auto"/>
        <w:rPr>
          <w:rFonts w:ascii="仿宋_GB2312" w:hAnsi="宋体" w:eastAsia="仿宋_GB2312"/>
          <w:b/>
          <w:color w:val="auto"/>
          <w:sz w:val="44"/>
          <w:szCs w:val="44"/>
        </w:rPr>
      </w:pPr>
    </w:p>
    <w:p>
      <w:pPr>
        <w:keepNext w:val="0"/>
        <w:keepLines w:val="0"/>
        <w:pageBreakBefore w:val="0"/>
        <w:widowControl w:val="0"/>
        <w:kinsoku/>
        <w:wordWrap/>
        <w:overflowPunct/>
        <w:topLinePunct w:val="0"/>
        <w:autoSpaceDE/>
        <w:autoSpaceDN/>
        <w:bidi w:val="0"/>
        <w:adjustRightInd/>
        <w:snapToGrid/>
        <w:spacing w:after="0" w:line="500" w:lineRule="exact"/>
        <w:ind w:left="0" w:leftChars="0" w:firstLine="0" w:firstLineChars="0"/>
        <w:jc w:val="center"/>
        <w:textAlignment w:val="auto"/>
        <w:rPr>
          <w:rFonts w:ascii="仿宋_GB2312" w:hAnsi="宋体" w:eastAsia="仿宋_GB2312"/>
          <w:b/>
          <w:color w:val="auto"/>
          <w:sz w:val="44"/>
          <w:szCs w:val="44"/>
        </w:rPr>
      </w:pPr>
    </w:p>
    <w:p>
      <w:pPr>
        <w:keepNext w:val="0"/>
        <w:keepLines w:val="0"/>
        <w:pageBreakBefore w:val="0"/>
        <w:widowControl w:val="0"/>
        <w:kinsoku/>
        <w:wordWrap/>
        <w:overflowPunct/>
        <w:topLinePunct w:val="0"/>
        <w:autoSpaceDE/>
        <w:autoSpaceDN/>
        <w:bidi w:val="0"/>
        <w:adjustRightInd/>
        <w:snapToGrid/>
        <w:spacing w:after="0" w:line="500" w:lineRule="exact"/>
        <w:ind w:left="0" w:leftChars="0" w:firstLine="0" w:firstLineChars="0"/>
        <w:jc w:val="center"/>
        <w:textAlignment w:val="auto"/>
        <w:rPr>
          <w:rFonts w:ascii="仿宋_GB2312" w:hAnsi="宋体" w:eastAsia="仿宋_GB2312"/>
          <w:b/>
          <w:color w:val="auto"/>
          <w:sz w:val="44"/>
          <w:szCs w:val="44"/>
        </w:rPr>
      </w:pPr>
    </w:p>
    <w:p>
      <w:pPr>
        <w:keepNext w:val="0"/>
        <w:keepLines w:val="0"/>
        <w:pageBreakBefore w:val="0"/>
        <w:widowControl w:val="0"/>
        <w:kinsoku/>
        <w:wordWrap/>
        <w:overflowPunct/>
        <w:topLinePunct w:val="0"/>
        <w:autoSpaceDE/>
        <w:autoSpaceDN/>
        <w:bidi w:val="0"/>
        <w:adjustRightInd/>
        <w:snapToGrid/>
        <w:spacing w:after="0" w:line="500" w:lineRule="exact"/>
        <w:ind w:left="0" w:leftChars="0" w:firstLine="0" w:firstLineChars="0"/>
        <w:jc w:val="center"/>
        <w:textAlignment w:val="auto"/>
        <w:rPr>
          <w:rFonts w:ascii="仿宋_GB2312" w:hAnsi="宋体" w:eastAsia="仿宋_GB2312"/>
          <w:b/>
          <w:color w:val="auto"/>
          <w:sz w:val="48"/>
          <w:szCs w:val="48"/>
        </w:rPr>
      </w:pPr>
    </w:p>
    <w:p>
      <w:pPr>
        <w:keepNext w:val="0"/>
        <w:keepLines w:val="0"/>
        <w:pageBreakBefore w:val="0"/>
        <w:widowControl w:val="0"/>
        <w:kinsoku/>
        <w:wordWrap/>
        <w:overflowPunct/>
        <w:topLinePunct w:val="0"/>
        <w:autoSpaceDE/>
        <w:autoSpaceDN/>
        <w:bidi w:val="0"/>
        <w:adjustRightInd/>
        <w:snapToGrid/>
        <w:spacing w:after="0" w:line="500" w:lineRule="exact"/>
        <w:ind w:left="0" w:leftChars="0" w:firstLine="0" w:firstLineChars="0"/>
        <w:jc w:val="center"/>
        <w:textAlignment w:val="auto"/>
        <w:rPr>
          <w:rFonts w:ascii="仿宋_GB2312" w:hAnsi="宋体" w:eastAsia="仿宋_GB2312"/>
          <w:b/>
          <w:color w:val="auto"/>
          <w:sz w:val="44"/>
          <w:szCs w:val="44"/>
        </w:rPr>
      </w:pPr>
      <w:bookmarkStart w:id="0" w:name="_GoBack"/>
      <w:bookmarkEnd w:id="0"/>
    </w:p>
    <w:p>
      <w:pPr>
        <w:keepNext w:val="0"/>
        <w:keepLines w:val="0"/>
        <w:pageBreakBefore w:val="0"/>
        <w:widowControl w:val="0"/>
        <w:kinsoku/>
        <w:wordWrap/>
        <w:overflowPunct/>
        <w:topLinePunct w:val="0"/>
        <w:autoSpaceDE/>
        <w:autoSpaceDN/>
        <w:bidi w:val="0"/>
        <w:adjustRightInd/>
        <w:snapToGrid/>
        <w:spacing w:after="0"/>
        <w:ind w:left="0" w:leftChars="0" w:firstLine="0" w:firstLineChars="0"/>
        <w:jc w:val="center"/>
        <w:textAlignment w:val="auto"/>
        <w:rPr>
          <w:rFonts w:ascii="仿宋_GB2312" w:hAnsi="仿宋" w:eastAsia="仿宋_GB2312"/>
          <w:color w:val="auto"/>
          <w:sz w:val="32"/>
          <w:szCs w:val="32"/>
        </w:rPr>
      </w:pPr>
      <w:r>
        <w:rPr>
          <w:rFonts w:hint="eastAsia" w:ascii="仿宋_GB2312" w:hAnsi="仿宋" w:eastAsia="仿宋_GB2312"/>
          <w:color w:val="auto"/>
          <w:sz w:val="32"/>
          <w:szCs w:val="32"/>
        </w:rPr>
        <w:t>永委农办〔</w:t>
      </w:r>
      <w:r>
        <w:rPr>
          <w:rFonts w:ascii="仿宋_GB2312" w:hAnsi="仿宋" w:eastAsia="仿宋_GB2312"/>
          <w:color w:val="auto"/>
          <w:sz w:val="32"/>
          <w:szCs w:val="32"/>
        </w:rPr>
        <w:t>20</w:t>
      </w:r>
      <w:r>
        <w:rPr>
          <w:rFonts w:hint="eastAsia" w:ascii="仿宋_GB2312" w:hAnsi="仿宋" w:eastAsia="仿宋_GB2312"/>
          <w:color w:val="auto"/>
          <w:sz w:val="32"/>
          <w:szCs w:val="32"/>
          <w:lang w:val="en-US" w:eastAsia="zh-CN"/>
        </w:rPr>
        <w:t>24</w:t>
      </w:r>
      <w:r>
        <w:rPr>
          <w:rFonts w:hint="eastAsia" w:ascii="仿宋_GB2312" w:hAnsi="仿宋" w:eastAsia="仿宋_GB2312"/>
          <w:color w:val="auto"/>
          <w:sz w:val="32"/>
          <w:szCs w:val="32"/>
        </w:rPr>
        <w:t>〕</w:t>
      </w:r>
      <w:r>
        <w:rPr>
          <w:rFonts w:hint="eastAsia" w:ascii="仿宋_GB2312" w:hAnsi="仿宋"/>
          <w:color w:val="auto"/>
          <w:sz w:val="32"/>
          <w:szCs w:val="32"/>
          <w:lang w:val="en-US" w:eastAsia="zh-CN"/>
        </w:rPr>
        <w:t>23</w:t>
      </w:r>
      <w:r>
        <w:rPr>
          <w:rFonts w:hint="eastAsia" w:ascii="仿宋_GB2312" w:hAnsi="仿宋" w:eastAsia="仿宋_GB2312"/>
          <w:color w:val="auto"/>
          <w:sz w:val="32"/>
          <w:szCs w:val="32"/>
        </w:rPr>
        <w:t>号</w:t>
      </w:r>
    </w:p>
    <w:p>
      <w:pPr>
        <w:keepNext w:val="0"/>
        <w:keepLines w:val="0"/>
        <w:pageBreakBefore w:val="0"/>
        <w:widowControl w:val="0"/>
        <w:kinsoku/>
        <w:wordWrap/>
        <w:overflowPunct/>
        <w:topLinePunct w:val="0"/>
        <w:autoSpaceDE/>
        <w:autoSpaceDN/>
        <w:bidi w:val="0"/>
        <w:adjustRightInd/>
        <w:snapToGrid/>
        <w:spacing w:after="0" w:line="500" w:lineRule="exact"/>
        <w:ind w:left="0" w:leftChars="0" w:firstLine="0" w:firstLineChars="0"/>
        <w:jc w:val="center"/>
        <w:textAlignment w:val="auto"/>
        <w:rPr>
          <w:rFonts w:ascii="仿宋_GB2312" w:hAnsi="宋体" w:eastAsia="仿宋_GB2312"/>
          <w:b/>
          <w:color w:val="auto"/>
          <w:sz w:val="44"/>
          <w:szCs w:val="44"/>
        </w:rPr>
      </w:pPr>
    </w:p>
    <w:p>
      <w:pPr>
        <w:keepNext w:val="0"/>
        <w:keepLines w:val="0"/>
        <w:pageBreakBefore w:val="0"/>
        <w:widowControl w:val="0"/>
        <w:kinsoku/>
        <w:wordWrap/>
        <w:overflowPunct/>
        <w:topLinePunct w:val="0"/>
        <w:autoSpaceDE/>
        <w:autoSpaceDN/>
        <w:bidi w:val="0"/>
        <w:adjustRightInd/>
        <w:snapToGrid/>
        <w:spacing w:after="0" w:line="500" w:lineRule="exact"/>
        <w:ind w:left="0" w:leftChars="0" w:firstLine="0" w:firstLineChars="0"/>
        <w:jc w:val="center"/>
        <w:textAlignment w:val="auto"/>
        <w:rPr>
          <w:rFonts w:hint="eastAsia" w:ascii="宋体" w:hAnsi="宋体" w:eastAsia="宋体" w:cs="宋体"/>
          <w:b/>
          <w:bCs w:val="0"/>
          <w:color w:val="auto"/>
          <w:sz w:val="44"/>
          <w:szCs w:val="44"/>
        </w:rPr>
      </w:pPr>
    </w:p>
    <w:p>
      <w:pPr>
        <w:jc w:val="center"/>
        <w:rPr>
          <w:rFonts w:hint="eastAsia" w:asciiTheme="majorEastAsia" w:hAnsiTheme="majorEastAsia" w:eastAsiaTheme="majorEastAsia"/>
          <w:b/>
          <w:bCs/>
          <w:spacing w:val="-6"/>
          <w:sz w:val="44"/>
          <w:szCs w:val="44"/>
        </w:rPr>
      </w:pPr>
      <w:r>
        <w:rPr>
          <w:rFonts w:hint="eastAsia" w:asciiTheme="majorEastAsia" w:hAnsiTheme="majorEastAsia" w:eastAsiaTheme="majorEastAsia"/>
          <w:b/>
          <w:bCs/>
          <w:spacing w:val="-6"/>
          <w:sz w:val="44"/>
          <w:szCs w:val="44"/>
        </w:rPr>
        <w:t>关于</w:t>
      </w:r>
      <w:r>
        <w:rPr>
          <w:rFonts w:hint="eastAsia" w:asciiTheme="majorEastAsia" w:hAnsiTheme="majorEastAsia" w:eastAsiaTheme="majorEastAsia"/>
          <w:b/>
          <w:bCs/>
          <w:spacing w:val="-6"/>
          <w:sz w:val="44"/>
          <w:szCs w:val="44"/>
          <w:lang w:eastAsia="zh-CN"/>
        </w:rPr>
        <w:t>新增</w:t>
      </w:r>
      <w:r>
        <w:rPr>
          <w:rFonts w:hint="eastAsia" w:asciiTheme="majorEastAsia" w:hAnsiTheme="majorEastAsia" w:eastAsiaTheme="majorEastAsia"/>
          <w:b/>
          <w:bCs/>
          <w:spacing w:val="-6"/>
          <w:sz w:val="44"/>
          <w:szCs w:val="44"/>
          <w:lang w:val="en-US" w:eastAsia="zh-CN"/>
        </w:rPr>
        <w:t>龙岩国优粮食发展有限公司</w:t>
      </w:r>
      <w:r>
        <w:rPr>
          <w:rFonts w:hint="eastAsia" w:asciiTheme="majorEastAsia" w:hAnsiTheme="majorEastAsia" w:eastAsiaTheme="majorEastAsia"/>
          <w:b/>
          <w:bCs/>
          <w:spacing w:val="-6"/>
          <w:sz w:val="44"/>
          <w:szCs w:val="44"/>
        </w:rPr>
        <w:t>等</w:t>
      </w:r>
      <w:r>
        <w:rPr>
          <w:rFonts w:hint="eastAsia" w:asciiTheme="majorEastAsia" w:hAnsiTheme="majorEastAsia" w:eastAsiaTheme="majorEastAsia"/>
          <w:b/>
          <w:bCs/>
          <w:spacing w:val="-6"/>
          <w:sz w:val="44"/>
          <w:szCs w:val="44"/>
          <w:lang w:val="en-US" w:eastAsia="zh-CN"/>
        </w:rPr>
        <w:t>6</w:t>
      </w:r>
      <w:r>
        <w:rPr>
          <w:rFonts w:hint="eastAsia" w:asciiTheme="majorEastAsia" w:hAnsiTheme="majorEastAsia" w:eastAsiaTheme="majorEastAsia"/>
          <w:b/>
          <w:bCs/>
          <w:spacing w:val="-6"/>
          <w:sz w:val="44"/>
          <w:szCs w:val="44"/>
        </w:rPr>
        <w:t>家</w:t>
      </w:r>
    </w:p>
    <w:p>
      <w:pPr>
        <w:jc w:val="center"/>
        <w:rPr>
          <w:rFonts w:asciiTheme="majorEastAsia" w:hAnsiTheme="majorEastAsia" w:eastAsiaTheme="majorEastAsia"/>
          <w:b/>
          <w:bCs/>
          <w:spacing w:val="-6"/>
          <w:sz w:val="44"/>
          <w:szCs w:val="44"/>
        </w:rPr>
      </w:pPr>
      <w:r>
        <w:rPr>
          <w:rFonts w:hint="eastAsia" w:asciiTheme="majorEastAsia" w:hAnsiTheme="majorEastAsia" w:eastAsiaTheme="majorEastAsia"/>
          <w:b/>
          <w:bCs/>
          <w:spacing w:val="-6"/>
          <w:sz w:val="44"/>
          <w:szCs w:val="44"/>
        </w:rPr>
        <w:t>企业为农业</w:t>
      </w:r>
      <w:r>
        <w:rPr>
          <w:rFonts w:asciiTheme="majorEastAsia" w:hAnsiTheme="majorEastAsia" w:eastAsiaTheme="majorEastAsia"/>
          <w:b/>
          <w:bCs/>
          <w:spacing w:val="-6"/>
          <w:sz w:val="44"/>
          <w:szCs w:val="44"/>
        </w:rPr>
        <w:t>产业化区级</w:t>
      </w:r>
      <w:r>
        <w:rPr>
          <w:rFonts w:hint="eastAsia" w:asciiTheme="majorEastAsia" w:hAnsiTheme="majorEastAsia" w:eastAsiaTheme="majorEastAsia"/>
          <w:b/>
          <w:bCs/>
          <w:spacing w:val="-6"/>
          <w:sz w:val="44"/>
          <w:szCs w:val="44"/>
        </w:rPr>
        <w:t>龙头</w:t>
      </w:r>
      <w:r>
        <w:rPr>
          <w:rFonts w:asciiTheme="majorEastAsia" w:hAnsiTheme="majorEastAsia" w:eastAsiaTheme="majorEastAsia"/>
          <w:b/>
          <w:bCs/>
          <w:spacing w:val="-6"/>
          <w:sz w:val="44"/>
          <w:szCs w:val="44"/>
        </w:rPr>
        <w:t>企业</w:t>
      </w:r>
      <w:r>
        <w:rPr>
          <w:rFonts w:hint="eastAsia" w:asciiTheme="majorEastAsia" w:hAnsiTheme="majorEastAsia" w:eastAsiaTheme="majorEastAsia"/>
          <w:b/>
          <w:bCs/>
          <w:spacing w:val="-6"/>
          <w:sz w:val="44"/>
          <w:szCs w:val="44"/>
        </w:rPr>
        <w:t>的</w:t>
      </w:r>
      <w:r>
        <w:rPr>
          <w:rFonts w:asciiTheme="majorEastAsia" w:hAnsiTheme="majorEastAsia" w:eastAsiaTheme="majorEastAsia"/>
          <w:b/>
          <w:bCs/>
          <w:spacing w:val="-6"/>
          <w:sz w:val="44"/>
          <w:szCs w:val="44"/>
        </w:rPr>
        <w:t>通知</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各乡镇（街道）人民政府（办事处）：</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根据《关于印发龙岩市永定区农业产业化区级龙头企业认定和运行监测管理办法的通知》（永委农办〔2022〕3号）文件</w:t>
      </w:r>
      <w:r>
        <w:rPr>
          <w:rFonts w:hint="eastAsia" w:ascii="仿宋_GB2312" w:hAnsi="仿宋_GB2312" w:eastAsia="仿宋_GB2312" w:cs="仿宋_GB2312"/>
          <w:sz w:val="32"/>
          <w:szCs w:val="32"/>
        </w:rPr>
        <w:t>规定,</w:t>
      </w:r>
      <w:r>
        <w:rPr>
          <w:rFonts w:hint="eastAsia" w:ascii="仿宋_GB2312" w:hAnsi="仿宋_GB2312" w:eastAsia="仿宋_GB2312" w:cs="仿宋_GB2312"/>
          <w:sz w:val="32"/>
          <w:szCs w:val="32"/>
          <w:lang w:eastAsia="zh-CN"/>
        </w:rPr>
        <w:t>在企业自主申报基础上，乡镇同意并公示无异议后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经研究，决定新增龙岩国优粮食发展有限公司等6家企业为龙岩市永定区农业</w:t>
      </w:r>
      <w:r>
        <w:rPr>
          <w:rFonts w:hint="eastAsia" w:ascii="仿宋_GB2312" w:hAnsi="仿宋_GB2312" w:eastAsia="仿宋_GB2312" w:cs="仿宋_GB2312"/>
          <w:sz w:val="32"/>
          <w:szCs w:val="32"/>
        </w:rPr>
        <w:t>产业化区级龙头企业，现将</w:t>
      </w:r>
      <w:r>
        <w:rPr>
          <w:rFonts w:hint="eastAsia" w:ascii="仿宋_GB2312" w:hAnsi="仿宋_GB2312" w:eastAsia="仿宋_GB2312" w:cs="仿宋_GB2312"/>
          <w:sz w:val="32"/>
          <w:szCs w:val="32"/>
          <w:lang w:eastAsia="zh-CN"/>
        </w:rPr>
        <w:t>认定</w:t>
      </w:r>
      <w:r>
        <w:rPr>
          <w:rFonts w:hint="eastAsia" w:ascii="仿宋_GB2312" w:hAnsi="仿宋_GB2312" w:eastAsia="仿宋_GB2312" w:cs="仿宋_GB2312"/>
          <w:sz w:val="32"/>
          <w:szCs w:val="32"/>
        </w:rPr>
        <w:t>名单予以公布。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pacing w:val="-6"/>
          <w:w w:val="97"/>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pacing w:val="-6"/>
          <w:w w:val="97"/>
          <w:sz w:val="32"/>
          <w:szCs w:val="32"/>
          <w:lang w:val="en-US" w:eastAsia="zh-CN"/>
        </w:rPr>
        <w:t>2024年新增</w:t>
      </w:r>
      <w:r>
        <w:rPr>
          <w:rFonts w:hint="eastAsia" w:ascii="仿宋_GB2312" w:hAnsi="仿宋_GB2312" w:eastAsia="仿宋_GB2312" w:cs="仿宋_GB2312"/>
          <w:spacing w:val="-6"/>
          <w:w w:val="97"/>
          <w:sz w:val="32"/>
          <w:szCs w:val="32"/>
        </w:rPr>
        <w:t>龙岩市永定区农业产业化区级龙头企业名单</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520" w:lineRule="exact"/>
        <w:jc w:val="right"/>
        <w:textAlignment w:val="auto"/>
        <w:rPr>
          <w:rFonts w:hint="eastAsia" w:ascii="仿宋_GB2312" w:hAnsi="仿宋_GB2312" w:eastAsia="仿宋_GB2312" w:cs="仿宋_GB2312"/>
          <w:b w:val="0"/>
          <w:bCs/>
          <w:sz w:val="32"/>
          <w:szCs w:val="32"/>
        </w:rPr>
      </w:pPr>
      <w:r>
        <w:rPr>
          <w:rFonts w:hint="eastAsia" w:ascii="仿宋_GB2312" w:eastAsia="仿宋_GB2312"/>
          <w:b w:val="0"/>
          <w:bCs/>
          <w:sz w:val="32"/>
          <w:szCs w:val="32"/>
        </w:rPr>
        <w:t>中共龙岩市永定区委农村工作领导小组办公室</w:t>
      </w:r>
    </w:p>
    <w:p>
      <w:pPr>
        <w:keepNext w:val="0"/>
        <w:keepLines w:val="0"/>
        <w:pageBreakBefore w:val="0"/>
        <w:widowControl w:val="0"/>
        <w:kinsoku/>
        <w:wordWrap w:val="0"/>
        <w:overflowPunct/>
        <w:topLinePunct w:val="0"/>
        <w:autoSpaceDE/>
        <w:autoSpaceDN/>
        <w:bidi w:val="0"/>
        <w:adjustRightInd/>
        <w:snapToGrid/>
        <w:spacing w:line="520" w:lineRule="exact"/>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p>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44"/>
          <w:szCs w:val="44"/>
        </w:rPr>
      </w:pPr>
      <w:r>
        <w:rPr>
          <w:rFonts w:hint="eastAsia" w:ascii="宋体" w:hAnsi="宋体" w:eastAsia="宋体" w:cs="宋体"/>
          <w:b/>
          <w:bCs/>
          <w:sz w:val="44"/>
          <w:szCs w:val="44"/>
          <w:lang w:val="en-US" w:eastAsia="zh-CN"/>
        </w:rPr>
        <w:t>2024年新增</w:t>
      </w:r>
      <w:r>
        <w:rPr>
          <w:rFonts w:hint="eastAsia" w:ascii="宋体" w:hAnsi="宋体" w:eastAsia="宋体" w:cs="宋体"/>
          <w:b/>
          <w:bCs/>
          <w:sz w:val="44"/>
          <w:szCs w:val="44"/>
        </w:rPr>
        <w:t>龙岩市永定区农业产业化</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44"/>
          <w:szCs w:val="44"/>
        </w:rPr>
      </w:pPr>
      <w:r>
        <w:rPr>
          <w:rFonts w:hint="eastAsia" w:ascii="宋体" w:hAnsi="宋体" w:eastAsia="宋体" w:cs="宋体"/>
          <w:b/>
          <w:bCs/>
          <w:sz w:val="44"/>
          <w:szCs w:val="44"/>
        </w:rPr>
        <w:t>区级龙头企业名单</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36"/>
          <w:szCs w:val="36"/>
        </w:rPr>
      </w:pPr>
    </w:p>
    <w:p>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永定县胜捷家饰有限公司</w:t>
      </w:r>
    </w:p>
    <w:p>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龙岩市象湖山生态农业科技有限公司</w:t>
      </w:r>
    </w:p>
    <w:p>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sz w:val="32"/>
          <w:szCs w:val="32"/>
        </w:rPr>
        <w:t>龙岩市晟洋生态农业有限公司</w:t>
      </w:r>
    </w:p>
    <w:p>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福建永源农林有限公司</w:t>
      </w:r>
    </w:p>
    <w:p>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仿宋" w:hAnsi="仿宋" w:eastAsia="仿宋"/>
          <w:sz w:val="32"/>
          <w:szCs w:val="32"/>
        </w:rPr>
      </w:pPr>
      <w:r>
        <w:rPr>
          <w:rFonts w:hint="eastAsia" w:ascii="仿宋" w:hAnsi="仿宋" w:eastAsia="仿宋"/>
          <w:sz w:val="32"/>
          <w:szCs w:val="32"/>
          <w:lang w:val="en-US" w:eastAsia="zh-CN"/>
        </w:rPr>
        <w:t>5.</w:t>
      </w:r>
      <w:r>
        <w:rPr>
          <w:rFonts w:hint="eastAsia" w:ascii="仿宋" w:hAnsi="仿宋" w:eastAsia="仿宋"/>
          <w:sz w:val="32"/>
          <w:szCs w:val="32"/>
        </w:rPr>
        <w:t>福建通德生态农业有限公司</w:t>
      </w:r>
    </w:p>
    <w:p>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仿宋" w:hAnsi="仿宋" w:eastAsia="仿宋"/>
          <w:sz w:val="32"/>
          <w:szCs w:val="32"/>
        </w:rPr>
      </w:pPr>
      <w:r>
        <w:rPr>
          <w:rFonts w:hint="eastAsia" w:ascii="仿宋" w:hAnsi="仿宋" w:eastAsia="仿宋"/>
          <w:sz w:val="32"/>
          <w:szCs w:val="32"/>
          <w:lang w:val="en-US" w:eastAsia="zh-CN"/>
        </w:rPr>
        <w:t>6.</w:t>
      </w:r>
      <w:r>
        <w:rPr>
          <w:rFonts w:hint="eastAsia" w:ascii="仿宋" w:hAnsi="仿宋" w:eastAsia="仿宋"/>
          <w:sz w:val="32"/>
          <w:szCs w:val="32"/>
        </w:rPr>
        <w:t>龙岩国优粮食发展有限公司</w:t>
      </w:r>
    </w:p>
    <w:p/>
    <w:p/>
    <w:p/>
    <w:p/>
    <w:p/>
    <w:p/>
    <w:p/>
    <w:p/>
    <w:p/>
    <w:p/>
    <w:p/>
    <w:sectPr>
      <w:footerReference r:id="rId3" w:type="default"/>
      <w:pgSz w:w="11906" w:h="16838"/>
      <w:pgMar w:top="1440" w:right="1417" w:bottom="1440" w:left="164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5ODFmOTRhZmZmNDA1YjUzMGEwNzZiODg2MzYyY2QifQ=="/>
  </w:docVars>
  <w:rsids>
    <w:rsidRoot w:val="00000000"/>
    <w:rsid w:val="11F42D2B"/>
    <w:rsid w:val="1CE419B1"/>
    <w:rsid w:val="2AF85584"/>
    <w:rsid w:val="344350E9"/>
    <w:rsid w:val="4C8524E4"/>
    <w:rsid w:val="52C64C8B"/>
    <w:rsid w:val="5B3F03BD"/>
    <w:rsid w:val="6EEF7119"/>
    <w:rsid w:val="76016B25"/>
    <w:rsid w:val="79272A75"/>
    <w:rsid w:val="7ACC11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alloon Text"/>
    <w:basedOn w:val="1"/>
    <w:semiHidden/>
    <w:unhideWhenUsed/>
    <w:qFormat/>
    <w:uiPriority w:val="99"/>
    <w:rPr>
      <w:sz w:val="18"/>
      <w:szCs w:val="18"/>
    </w:rPr>
  </w:style>
  <w:style w:type="paragraph" w:styleId="3">
    <w:name w:val="Body Text Indent"/>
    <w:basedOn w:val="1"/>
    <w:next w:val="1"/>
    <w:qFormat/>
    <w:uiPriority w:val="99"/>
    <w:pPr>
      <w:spacing w:after="120"/>
      <w:ind w:left="200" w:leftChars="200"/>
    </w:p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First Indent 2"/>
    <w:basedOn w:val="3"/>
    <w:next w:val="1"/>
    <w:qFormat/>
    <w:uiPriority w:val="99"/>
    <w:pPr>
      <w:spacing w:after="0"/>
      <w:ind w:left="0" w:leftChars="0" w:firstLine="420"/>
    </w:pPr>
    <w:rPr>
      <w:rFonts w:ascii="宋体" w:hAnsi="宋体" w:cs="宋体"/>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374</Words>
  <Characters>387</Characters>
  <Lines>0</Lines>
  <Paragraphs>0</Paragraphs>
  <TotalTime>2</TotalTime>
  <ScaleCrop>false</ScaleCrop>
  <LinksUpToDate>false</LinksUpToDate>
  <CharactersWithSpaces>406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2023-09-13T09:18:00Z</dcterms:created>
  <dc:creator>Administrator</dc:creator>
  <cp:lastModifiedBy>Administrator</cp:lastModifiedBy>
  <cp:lastPrinted>2024-08-15T09:46:00Z</cp:lastPrinted>
  <dcterms:modified xsi:type="dcterms:W3CDTF">2024-08-20T01:09:38Z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71AB264B60D940B88D3FC51655AAD03D_12</vt:lpwstr>
  </property>
</Properties>
</file>